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00000" w:rsidRDefault="00000000">
      <w:pPr>
        <w:rPr>
          <w:rFonts w:eastAsia="仿宋"/>
        </w:rPr>
      </w:pPr>
    </w:p>
    <w:p w:rsidR="00000000" w:rsidRDefault="00000000">
      <w:pPr>
        <w:rPr>
          <w:rFonts w:eastAsia="仿宋"/>
        </w:rPr>
      </w:pPr>
    </w:p>
    <w:p w:rsidR="00000000" w:rsidRDefault="00000000">
      <w:pPr>
        <w:rPr>
          <w:rFonts w:eastAsia="仿宋"/>
        </w:rPr>
      </w:pPr>
    </w:p>
    <w:p w:rsidR="00000000" w:rsidRDefault="00000000"/>
    <w:p w:rsidR="00000000" w:rsidRDefault="00000000">
      <w:pPr>
        <w:rPr>
          <w:rFonts w:eastAsia="仿宋"/>
        </w:rPr>
      </w:pPr>
    </w:p>
    <w:p w:rsidR="00000000" w:rsidRDefault="00000000">
      <w:pPr>
        <w:rPr>
          <w:rFonts w:eastAsia="仿宋"/>
        </w:rPr>
      </w:pPr>
    </w:p>
    <w:p w:rsidR="00000000" w:rsidRDefault="00000000">
      <w:pPr>
        <w:rPr>
          <w:rFonts w:eastAsia="仿宋"/>
        </w:rPr>
      </w:pPr>
    </w:p>
    <w:p w:rsidR="00000000" w:rsidRDefault="00000000">
      <w:pPr>
        <w:rPr>
          <w:rFonts w:eastAsia="仿宋"/>
        </w:rPr>
      </w:pPr>
    </w:p>
    <w:p w:rsidR="00000000" w:rsidRDefault="00000000">
      <w:pPr>
        <w:jc w:val="center"/>
        <w:rPr>
          <w:rFonts w:eastAsia="微软雅黑"/>
          <w:b/>
          <w:kern w:val="0"/>
          <w:sz w:val="52"/>
          <w:szCs w:val="52"/>
        </w:rPr>
      </w:pPr>
      <w:r>
        <w:rPr>
          <w:rFonts w:eastAsia="微软雅黑"/>
          <w:b/>
          <w:kern w:val="0"/>
          <w:sz w:val="52"/>
          <w:szCs w:val="52"/>
        </w:rPr>
        <w:t>OLED</w:t>
      </w:r>
      <w:r>
        <w:rPr>
          <w:rFonts w:eastAsia="微软雅黑"/>
          <w:b/>
          <w:kern w:val="0"/>
          <w:sz w:val="52"/>
          <w:szCs w:val="52"/>
        </w:rPr>
        <w:t>发光材料产业专利</w:t>
      </w:r>
      <w:r>
        <w:rPr>
          <w:rFonts w:eastAsia="微软雅黑" w:hint="eastAsia"/>
          <w:b/>
          <w:kern w:val="0"/>
          <w:sz w:val="52"/>
          <w:szCs w:val="52"/>
        </w:rPr>
        <w:t>微</w:t>
      </w:r>
      <w:r>
        <w:rPr>
          <w:rFonts w:eastAsia="微软雅黑"/>
          <w:b/>
          <w:kern w:val="0"/>
          <w:sz w:val="52"/>
          <w:szCs w:val="52"/>
        </w:rPr>
        <w:t>导航报告</w:t>
      </w:r>
    </w:p>
    <w:p w:rsidR="00000000" w:rsidRDefault="00000000">
      <w:pPr>
        <w:jc w:val="center"/>
        <w:rPr>
          <w:rFonts w:eastAsia="仿宋"/>
          <w:b/>
          <w:sz w:val="52"/>
          <w:szCs w:val="52"/>
        </w:rPr>
      </w:pPr>
    </w:p>
    <w:p w:rsidR="00000000" w:rsidRDefault="00000000">
      <w:pPr>
        <w:jc w:val="left"/>
        <w:rPr>
          <w:rFonts w:eastAsia="仿宋"/>
          <w:sz w:val="28"/>
          <w:szCs w:val="28"/>
        </w:rPr>
      </w:pPr>
    </w:p>
    <w:p w:rsidR="00000000" w:rsidRDefault="00000000">
      <w:pPr>
        <w:jc w:val="center"/>
        <w:rPr>
          <w:rFonts w:eastAsia="仿宋"/>
          <w:sz w:val="28"/>
          <w:szCs w:val="28"/>
        </w:rPr>
      </w:pPr>
    </w:p>
    <w:p w:rsidR="00000000" w:rsidRDefault="00000000">
      <w:pPr>
        <w:rPr>
          <w:rFonts w:eastAsia="仿宋"/>
          <w:sz w:val="28"/>
          <w:szCs w:val="28"/>
        </w:rPr>
      </w:pPr>
    </w:p>
    <w:p w:rsidR="00000000" w:rsidRDefault="00000000">
      <w:pPr>
        <w:rPr>
          <w:rFonts w:eastAsia="仿宋"/>
          <w:sz w:val="28"/>
          <w:szCs w:val="28"/>
        </w:rPr>
      </w:pPr>
    </w:p>
    <w:p w:rsidR="00000000" w:rsidRDefault="00000000">
      <w:pPr>
        <w:rPr>
          <w:rFonts w:eastAsia="仿宋"/>
          <w:sz w:val="28"/>
          <w:szCs w:val="28"/>
        </w:rPr>
      </w:pPr>
    </w:p>
    <w:p w:rsidR="00000000" w:rsidRDefault="00000000"/>
    <w:p w:rsidR="00000000" w:rsidRDefault="00000000">
      <w:pPr>
        <w:jc w:val="center"/>
        <w:rPr>
          <w:rFonts w:eastAsia="仿宋"/>
          <w:sz w:val="28"/>
          <w:szCs w:val="28"/>
        </w:rPr>
      </w:pPr>
    </w:p>
    <w:p w:rsidR="00000000" w:rsidRDefault="00000000">
      <w:pPr>
        <w:spacing w:line="480" w:lineRule="auto"/>
        <w:jc w:val="center"/>
        <w:rPr>
          <w:rFonts w:eastAsia="微软雅黑" w:hint="eastAsia"/>
          <w:b/>
          <w:sz w:val="36"/>
          <w:szCs w:val="36"/>
        </w:rPr>
      </w:pPr>
    </w:p>
    <w:p w:rsidR="00000000" w:rsidRDefault="00000000">
      <w:pPr>
        <w:spacing w:line="480" w:lineRule="auto"/>
        <w:jc w:val="center"/>
        <w:rPr>
          <w:rFonts w:eastAsia="微软雅黑" w:hint="eastAsia"/>
          <w:b/>
          <w:sz w:val="36"/>
          <w:szCs w:val="36"/>
        </w:rPr>
      </w:pPr>
    </w:p>
    <w:p w:rsidR="00000000" w:rsidRDefault="000A495B">
      <w:pPr>
        <w:spacing w:line="480" w:lineRule="auto"/>
        <w:jc w:val="center"/>
        <w:rPr>
          <w:rFonts w:eastAsia="微软雅黑" w:hint="eastAsia"/>
          <w:b/>
          <w:sz w:val="36"/>
          <w:szCs w:val="36"/>
        </w:rPr>
      </w:pPr>
      <w:r w:rsidRPr="000A495B">
        <w:rPr>
          <w:rFonts w:eastAsia="微软雅黑" w:hint="eastAsia"/>
          <w:b/>
          <w:sz w:val="36"/>
          <w:szCs w:val="36"/>
        </w:rPr>
        <w:t>吉林省知识产权保护中心</w:t>
      </w:r>
    </w:p>
    <w:p w:rsidR="00000000" w:rsidRDefault="00000000">
      <w:pPr>
        <w:spacing w:line="480" w:lineRule="auto"/>
        <w:jc w:val="center"/>
        <w:rPr>
          <w:rFonts w:eastAsia="微软雅黑"/>
          <w:b/>
          <w:sz w:val="36"/>
          <w:szCs w:val="36"/>
        </w:rPr>
        <w:sectPr w:rsidR="00000000">
          <w:footerReference w:type="even" r:id="rId6"/>
          <w:pgSz w:w="11906" w:h="16838"/>
          <w:pgMar w:top="2098" w:right="1474" w:bottom="1984" w:left="1587" w:header="851" w:footer="992" w:gutter="0"/>
          <w:pgBorders>
            <w:top w:val="none" w:sz="0" w:space="1" w:color="auto"/>
            <w:left w:val="none" w:sz="0" w:space="4" w:color="auto"/>
            <w:bottom w:val="none" w:sz="0" w:space="1" w:color="auto"/>
            <w:right w:val="none" w:sz="0" w:space="4" w:color="auto"/>
          </w:pgBorders>
          <w:cols w:space="720"/>
          <w:docGrid w:type="lines" w:linePitch="312"/>
        </w:sectPr>
      </w:pPr>
      <w:r>
        <w:rPr>
          <w:rFonts w:eastAsia="微软雅黑" w:hint="eastAsia"/>
          <w:b/>
          <w:sz w:val="36"/>
          <w:szCs w:val="36"/>
        </w:rPr>
        <w:t>2025</w:t>
      </w:r>
      <w:r>
        <w:rPr>
          <w:rFonts w:eastAsia="微软雅黑" w:hint="eastAsia"/>
          <w:b/>
          <w:sz w:val="36"/>
          <w:szCs w:val="36"/>
        </w:rPr>
        <w:t>年</w:t>
      </w:r>
      <w:r>
        <w:rPr>
          <w:rFonts w:eastAsia="微软雅黑" w:hint="eastAsia"/>
          <w:b/>
          <w:sz w:val="36"/>
          <w:szCs w:val="36"/>
        </w:rPr>
        <w:t>6</w:t>
      </w:r>
      <w:r>
        <w:rPr>
          <w:rFonts w:eastAsia="微软雅黑" w:hint="eastAsia"/>
          <w:b/>
          <w:sz w:val="36"/>
          <w:szCs w:val="36"/>
        </w:rPr>
        <w:t>月</w:t>
      </w:r>
    </w:p>
    <w:p w:rsidR="00000000" w:rsidRDefault="00000000">
      <w:pPr>
        <w:pStyle w:val="affb"/>
        <w:spacing w:afterLines="50" w:after="156"/>
        <w:rPr>
          <w:rFonts w:ascii="Times New Roman" w:hAnsi="Times New Roman" w:cs="Times New Roman" w:hint="default"/>
          <w:b/>
        </w:rPr>
      </w:pPr>
      <w:r>
        <w:rPr>
          <w:rFonts w:ascii="Times New Roman" w:hAnsi="Times New Roman" w:cs="Times New Roman" w:hint="default"/>
          <w:b/>
        </w:rPr>
        <w:lastRenderedPageBreak/>
        <w:t>引</w:t>
      </w:r>
      <w:r>
        <w:rPr>
          <w:rFonts w:ascii="Times New Roman" w:hAnsi="Times New Roman" w:cs="Times New Roman" w:hint="default"/>
          <w:b/>
        </w:rPr>
        <w:t xml:space="preserve">  </w:t>
      </w:r>
      <w:r>
        <w:rPr>
          <w:rFonts w:ascii="Times New Roman" w:hAnsi="Times New Roman" w:cs="Times New Roman" w:hint="default"/>
          <w:b/>
        </w:rPr>
        <w:t>言</w:t>
      </w:r>
    </w:p>
    <w:p w:rsidR="00000000" w:rsidRDefault="00000000">
      <w:pPr>
        <w:ind w:firstLineChars="200" w:firstLine="480"/>
        <w:rPr>
          <w:rFonts w:eastAsia="仿宋"/>
          <w:sz w:val="24"/>
        </w:rPr>
      </w:pPr>
      <w:r>
        <w:rPr>
          <w:rFonts w:eastAsia="仿宋"/>
          <w:sz w:val="24"/>
        </w:rPr>
        <w:t>专利导航是在我国深入实施创新驱动发展战略的新形势下，在专利信息运用方面探索创新并及时总结出的一系列新理念、新机制、新方法和新模式。这不仅是改革开放以来知识产权中国化应用的理论新突破，更是新时代中国知识产权运用体系建设支撑性的制度创新成果。专利导航的推广应用，对于我国提升知识产权治理能力与水平，推动完善知识产权全球治理具有重要的引领作用。</w:t>
      </w:r>
    </w:p>
    <w:p w:rsidR="00000000" w:rsidRDefault="00000000">
      <w:pPr>
        <w:ind w:firstLineChars="200" w:firstLine="480"/>
        <w:rPr>
          <w:rFonts w:eastAsia="仿宋"/>
          <w:sz w:val="24"/>
        </w:rPr>
      </w:pPr>
      <w:r>
        <w:rPr>
          <w:rFonts w:eastAsia="仿宋"/>
          <w:sz w:val="24"/>
        </w:rPr>
        <w:t>近年来，我国越来越注重专利导航体系机制的建设，国家知识产权局在</w:t>
      </w:r>
      <w:r>
        <w:rPr>
          <w:rFonts w:eastAsia="仿宋"/>
          <w:sz w:val="24"/>
        </w:rPr>
        <w:t>2003</w:t>
      </w:r>
      <w:r>
        <w:rPr>
          <w:rFonts w:eastAsia="仿宋"/>
          <w:sz w:val="24"/>
        </w:rPr>
        <w:t>年就提出建立专利预警机制的必要性和重要性。</w:t>
      </w:r>
      <w:r>
        <w:rPr>
          <w:rFonts w:eastAsia="仿宋"/>
          <w:sz w:val="24"/>
        </w:rPr>
        <w:t>2013</w:t>
      </w:r>
      <w:r>
        <w:rPr>
          <w:rFonts w:eastAsia="仿宋"/>
          <w:sz w:val="24"/>
        </w:rPr>
        <w:t>年国家知识产权局首次正式提出专利导航概念，并将专利导航概念延伸到知识产权分析评议、区域布局等工作。</w:t>
      </w:r>
      <w:r>
        <w:rPr>
          <w:rFonts w:eastAsia="仿宋"/>
          <w:sz w:val="24"/>
        </w:rPr>
        <w:t>2020</w:t>
      </w:r>
      <w:r>
        <w:rPr>
          <w:rFonts w:eastAsia="仿宋"/>
          <w:sz w:val="24"/>
        </w:rPr>
        <w:t>年由国家知识产权局组织起草的《专利导航指南》（</w:t>
      </w:r>
      <w:r>
        <w:rPr>
          <w:rFonts w:eastAsia="仿宋"/>
          <w:sz w:val="24"/>
        </w:rPr>
        <w:t>GB/T39551-2020</w:t>
      </w:r>
      <w:r>
        <w:rPr>
          <w:rFonts w:eastAsia="仿宋"/>
          <w:sz w:val="24"/>
        </w:rPr>
        <w:t>）系列推荐性国家标准于</w:t>
      </w:r>
      <w:r>
        <w:rPr>
          <w:rFonts w:eastAsia="仿宋"/>
          <w:sz w:val="24"/>
        </w:rPr>
        <w:t>11</w:t>
      </w:r>
      <w:r>
        <w:rPr>
          <w:rFonts w:eastAsia="仿宋"/>
          <w:sz w:val="24"/>
        </w:rPr>
        <w:t>月</w:t>
      </w:r>
      <w:r>
        <w:rPr>
          <w:rFonts w:eastAsia="仿宋"/>
          <w:sz w:val="24"/>
        </w:rPr>
        <w:t>9</w:t>
      </w:r>
      <w:r>
        <w:rPr>
          <w:rFonts w:eastAsia="仿宋"/>
          <w:sz w:val="24"/>
        </w:rPr>
        <w:t>日批准发布，并于</w:t>
      </w:r>
      <w:r>
        <w:rPr>
          <w:rFonts w:eastAsia="仿宋"/>
          <w:sz w:val="24"/>
        </w:rPr>
        <w:t>2021</w:t>
      </w:r>
      <w:r>
        <w:rPr>
          <w:rFonts w:eastAsia="仿宋"/>
          <w:sz w:val="24"/>
        </w:rPr>
        <w:t>年</w:t>
      </w:r>
      <w:r>
        <w:rPr>
          <w:rFonts w:eastAsia="仿宋"/>
          <w:sz w:val="24"/>
        </w:rPr>
        <w:t>6</w:t>
      </w:r>
      <w:r>
        <w:rPr>
          <w:rFonts w:eastAsia="仿宋"/>
          <w:sz w:val="24"/>
        </w:rPr>
        <w:t>月</w:t>
      </w:r>
      <w:r>
        <w:rPr>
          <w:rFonts w:eastAsia="仿宋"/>
          <w:sz w:val="24"/>
        </w:rPr>
        <w:t>1</w:t>
      </w:r>
      <w:r>
        <w:rPr>
          <w:rFonts w:eastAsia="仿宋"/>
          <w:sz w:val="24"/>
        </w:rPr>
        <w:t>日起正式实施。专利导航是在宏观决策、产业规划、企业经营和创新活动中，以专利数据为核心深度融合各类数据资源，全景式分析区域发展定位、产业竞争格局、企业经营决策和技术创新方向，服务创新资源有效配置，提高决策精准度和科学性的新型专利信息应用模式。在国家的呼吁和带动下，各地也纷纷开展专利导航分析服务。</w:t>
      </w:r>
    </w:p>
    <w:p w:rsidR="00000000" w:rsidRDefault="00000000">
      <w:pPr>
        <w:ind w:firstLineChars="200" w:firstLine="480"/>
        <w:rPr>
          <w:rFonts w:eastAsia="仿宋"/>
          <w:sz w:val="24"/>
        </w:rPr>
      </w:pPr>
      <w:r>
        <w:rPr>
          <w:rFonts w:eastAsia="仿宋"/>
          <w:sz w:val="24"/>
        </w:rPr>
        <w:t>国家知识产权局大力推进专利导航在地方、园区和企业等不同层面的制度创新实践，以数据运用推动知识产权治理创新，全面推动产业创新发展。专利导航作为践行新发展理念的重大改革创新举措，从启动专利导航工程的试点探索，到列入国家知识产权战略和专利事业发展战略的年度推进计划，再到全面纳入国家和地方重大产业政策文件，逐步发展成为我国产业政策和创新发展不可或缺的重要内容。</w:t>
      </w:r>
      <w:r>
        <w:rPr>
          <w:rFonts w:eastAsia="仿宋"/>
          <w:sz w:val="24"/>
        </w:rPr>
        <w:t>2018</w:t>
      </w:r>
      <w:r>
        <w:rPr>
          <w:rFonts w:eastAsia="仿宋"/>
          <w:sz w:val="24"/>
        </w:rPr>
        <w:t>年在深化党和国家机构改革中，专利导航被确定为重新组建后的国家知识产权局的重要职责。专利导航工作职责的法定化，标志着专利导航正式成为我国知识产权管理部门转变政府职能、提升治理能力的重要内容。</w:t>
      </w:r>
    </w:p>
    <w:p w:rsidR="00000000" w:rsidRDefault="00000000">
      <w:pPr>
        <w:ind w:firstLineChars="200" w:firstLine="480"/>
        <w:rPr>
          <w:rFonts w:eastAsia="仿宋"/>
          <w:sz w:val="24"/>
        </w:rPr>
      </w:pPr>
      <w:r>
        <w:rPr>
          <w:rFonts w:eastAsia="仿宋"/>
          <w:sz w:val="24"/>
        </w:rPr>
        <w:t>专利导航在融入并助力产业实现自主可控、创新发展基本理念的指引下，在专利信息分析方法的基础上，综合了专利预警等具体应用场景，以大数据分析为依托，将聚焦于权利保护的分析拓展到全面支撑创新发展决策的分析，并以路径导航的方式将</w:t>
      </w:r>
      <w:r>
        <w:rPr>
          <w:rFonts w:eastAsia="仿宋"/>
          <w:sz w:val="24"/>
        </w:rPr>
        <w:lastRenderedPageBreak/>
        <w:t>专利信息运用从权利保护的技术层面提升到有效配置创新资源的制度层面，具有区别于一般决策支撑方法和传统专利信息分析方法的鲜明特征。</w:t>
      </w:r>
    </w:p>
    <w:p w:rsidR="00000000" w:rsidRDefault="00000000">
      <w:pPr>
        <w:ind w:firstLineChars="200" w:firstLine="480"/>
        <w:rPr>
          <w:rFonts w:eastAsia="仿宋"/>
          <w:sz w:val="24"/>
        </w:rPr>
      </w:pPr>
      <w:r>
        <w:rPr>
          <w:rFonts w:eastAsia="仿宋"/>
          <w:sz w:val="24"/>
        </w:rPr>
        <w:t>本报告立足于</w:t>
      </w:r>
      <w:r>
        <w:rPr>
          <w:rFonts w:eastAsia="仿宋" w:hint="eastAsia"/>
          <w:sz w:val="24"/>
        </w:rPr>
        <w:t>OLED</w:t>
      </w:r>
      <w:r>
        <w:rPr>
          <w:rFonts w:eastAsia="仿宋" w:hint="eastAsia"/>
          <w:sz w:val="24"/>
        </w:rPr>
        <w:t>发光材料</w:t>
      </w:r>
      <w:r>
        <w:rPr>
          <w:rFonts w:eastAsia="仿宋"/>
          <w:sz w:val="24"/>
        </w:rPr>
        <w:t>产业现状，运用专利导航分析方法，紧扣产业分析和专利分析两条主线，将专利信息与政策环境、市场环境、区域环境等信息深度融合，并准确定位</w:t>
      </w:r>
      <w:r>
        <w:rPr>
          <w:rFonts w:eastAsia="仿宋"/>
          <w:sz w:val="24"/>
        </w:rPr>
        <w:t>OLED</w:t>
      </w:r>
      <w:r>
        <w:rPr>
          <w:rFonts w:eastAsia="仿宋"/>
          <w:sz w:val="24"/>
        </w:rPr>
        <w:t>发光材料产业现状和区域</w:t>
      </w:r>
      <w:r>
        <w:rPr>
          <w:rFonts w:eastAsia="仿宋"/>
          <w:sz w:val="24"/>
        </w:rPr>
        <w:t>OLED</w:t>
      </w:r>
      <w:r>
        <w:rPr>
          <w:rFonts w:eastAsia="仿宋"/>
          <w:sz w:val="24"/>
        </w:rPr>
        <w:t>发光材料产业现状，结合目前知识产权状况，围绕产业结构的优化升级，从寻找企业、技术、人才及专利等多维度对吉林省</w:t>
      </w:r>
      <w:r>
        <w:rPr>
          <w:rFonts w:eastAsia="仿宋"/>
          <w:sz w:val="24"/>
        </w:rPr>
        <w:t>OLED</w:t>
      </w:r>
      <w:r>
        <w:rPr>
          <w:rFonts w:eastAsia="仿宋"/>
          <w:sz w:val="24"/>
        </w:rPr>
        <w:t>发光材料产业发展路径指引。</w:t>
      </w:r>
    </w:p>
    <w:p w:rsidR="00000000" w:rsidRDefault="00000000">
      <w:pPr>
        <w:ind w:firstLineChars="200" w:firstLine="480"/>
        <w:rPr>
          <w:rFonts w:eastAsia="仿宋"/>
          <w:sz w:val="24"/>
        </w:rPr>
      </w:pPr>
      <w:r>
        <w:rPr>
          <w:rFonts w:eastAsia="仿宋"/>
          <w:sz w:val="24"/>
        </w:rPr>
        <w:t>本次专利导航的专利数据采集截止日期为</w:t>
      </w:r>
      <w:r>
        <w:rPr>
          <w:rFonts w:eastAsia="仿宋"/>
          <w:sz w:val="24"/>
        </w:rPr>
        <w:t>2025</w:t>
      </w:r>
      <w:r>
        <w:rPr>
          <w:rFonts w:eastAsia="仿宋"/>
          <w:sz w:val="24"/>
        </w:rPr>
        <w:t>年</w:t>
      </w:r>
      <w:r>
        <w:rPr>
          <w:rFonts w:eastAsia="仿宋" w:hint="eastAsia"/>
          <w:sz w:val="24"/>
        </w:rPr>
        <w:t>6</w:t>
      </w:r>
      <w:r>
        <w:rPr>
          <w:rFonts w:eastAsia="仿宋"/>
          <w:sz w:val="24"/>
        </w:rPr>
        <w:t>月</w:t>
      </w:r>
      <w:r>
        <w:rPr>
          <w:rFonts w:eastAsia="仿宋"/>
          <w:sz w:val="24"/>
        </w:rPr>
        <w:t>1</w:t>
      </w:r>
      <w:r>
        <w:rPr>
          <w:rFonts w:eastAsia="仿宋" w:hint="eastAsia"/>
          <w:sz w:val="24"/>
        </w:rPr>
        <w:t>7</w:t>
      </w:r>
      <w:r>
        <w:rPr>
          <w:rFonts w:eastAsia="仿宋"/>
          <w:sz w:val="24"/>
        </w:rPr>
        <w:t>日。专利信息数据范围覆盖中、美、日、韩、欧洲、</w:t>
      </w:r>
      <w:r>
        <w:rPr>
          <w:rFonts w:eastAsia="仿宋"/>
          <w:sz w:val="24"/>
        </w:rPr>
        <w:t>WIPO</w:t>
      </w:r>
      <w:r>
        <w:rPr>
          <w:rFonts w:eastAsia="仿宋"/>
          <w:sz w:val="24"/>
        </w:rPr>
        <w:t>等</w:t>
      </w:r>
      <w:r>
        <w:rPr>
          <w:rFonts w:eastAsia="仿宋"/>
          <w:sz w:val="24"/>
        </w:rPr>
        <w:t>164</w:t>
      </w:r>
      <w:r>
        <w:rPr>
          <w:rFonts w:eastAsia="仿宋"/>
          <w:sz w:val="24"/>
        </w:rPr>
        <w:t>个国家、组织和地区，包括著录项目、摘要、同族文献信息、法律状态信息、审查状态信息、引用文献信息、专利诉讼信息等。</w:t>
      </w:r>
    </w:p>
    <w:p w:rsidR="00000000" w:rsidRDefault="00000000">
      <w:pPr>
        <w:ind w:firstLineChars="200" w:firstLine="480"/>
        <w:rPr>
          <w:rFonts w:eastAsia="仿宋"/>
          <w:sz w:val="24"/>
        </w:rPr>
      </w:pPr>
      <w:r>
        <w:rPr>
          <w:rFonts w:eastAsia="仿宋"/>
          <w:sz w:val="24"/>
        </w:rPr>
        <w:t>本次分析报告检索对于</w:t>
      </w:r>
      <w:r>
        <w:rPr>
          <w:rFonts w:eastAsia="仿宋"/>
          <w:sz w:val="24"/>
        </w:rPr>
        <w:t>2024</w:t>
      </w:r>
      <w:r>
        <w:rPr>
          <w:rFonts w:eastAsia="仿宋"/>
          <w:sz w:val="24"/>
        </w:rPr>
        <w:t>年及以后的专利申请数据采集不完整，报告统计的专利申请量比实际的专利申请量要少，这是由于部分数据在检索截止日之前尚未在相关数据库中公开。例如，</w:t>
      </w:r>
      <w:r>
        <w:rPr>
          <w:rFonts w:eastAsia="仿宋"/>
          <w:sz w:val="24"/>
        </w:rPr>
        <w:t>PCT</w:t>
      </w:r>
      <w:r>
        <w:rPr>
          <w:rFonts w:eastAsia="仿宋"/>
          <w:sz w:val="24"/>
        </w:rPr>
        <w:t>专利申请可能自申请日起</w:t>
      </w:r>
      <w:r>
        <w:rPr>
          <w:rFonts w:eastAsia="仿宋"/>
          <w:sz w:val="24"/>
        </w:rPr>
        <w:t>30</w:t>
      </w:r>
      <w:r>
        <w:rPr>
          <w:rFonts w:eastAsia="仿宋"/>
          <w:sz w:val="24"/>
        </w:rPr>
        <w:t>个月甚至更长时间之后才进入国家阶段，从而导致与之相对应的国家公布时间更晚，国内发明专利申请通常自申请日（有优先权的，自优先权日）起</w:t>
      </w:r>
      <w:r>
        <w:rPr>
          <w:rFonts w:eastAsia="仿宋"/>
          <w:sz w:val="24"/>
        </w:rPr>
        <w:t>18</w:t>
      </w:r>
      <w:r>
        <w:rPr>
          <w:rFonts w:eastAsia="仿宋"/>
          <w:sz w:val="24"/>
        </w:rPr>
        <w:t>个月（要求提前公布的在</w:t>
      </w:r>
      <w:r>
        <w:rPr>
          <w:rFonts w:eastAsia="仿宋"/>
          <w:sz w:val="24"/>
        </w:rPr>
        <w:t>4-6</w:t>
      </w:r>
      <w:r>
        <w:rPr>
          <w:rFonts w:eastAsia="仿宋"/>
          <w:sz w:val="24"/>
        </w:rPr>
        <w:t>个月）才能被公布，以及实用新型专利申请在授权后才能获得公布，其公布日的滞后程度取决于审查周期的长短等。</w:t>
      </w:r>
    </w:p>
    <w:p w:rsidR="00000000" w:rsidRDefault="00000000">
      <w:pPr>
        <w:ind w:firstLineChars="200" w:firstLine="480"/>
        <w:rPr>
          <w:rFonts w:eastAsia="仿宋"/>
          <w:szCs w:val="21"/>
        </w:rPr>
      </w:pPr>
      <w:r>
        <w:rPr>
          <w:rFonts w:eastAsia="仿宋"/>
          <w:sz w:val="24"/>
        </w:rPr>
        <w:t>在撰写的过程中，项目组虽然对课题报告内容进行了细致的分析及总结提炼，但由于受专利文献的数据采集范围和分析工具的限制，报告的数据、结论和建议仅供参考借鉴。</w:t>
      </w:r>
    </w:p>
    <w:p w:rsidR="00000000" w:rsidRDefault="00000000">
      <w:pPr>
        <w:ind w:firstLineChars="200" w:firstLine="420"/>
        <w:rPr>
          <w:rFonts w:eastAsia="仿宋"/>
          <w:szCs w:val="21"/>
        </w:rPr>
      </w:pPr>
    </w:p>
    <w:p w:rsidR="00000000" w:rsidRDefault="00000000">
      <w:pPr>
        <w:rPr>
          <w:rFonts w:eastAsia="仿宋"/>
        </w:rPr>
        <w:sectPr w:rsidR="00000000">
          <w:headerReference w:type="default" r:id="rId7"/>
          <w:footerReference w:type="default" r:id="rId8"/>
          <w:pgSz w:w="11906" w:h="16838"/>
          <w:pgMar w:top="2098" w:right="1474" w:bottom="1984" w:left="1587" w:header="851" w:footer="992" w:gutter="0"/>
          <w:pgBorders>
            <w:top w:val="none" w:sz="0" w:space="1" w:color="auto"/>
            <w:left w:val="none" w:sz="0" w:space="4" w:color="auto"/>
            <w:bottom w:val="none" w:sz="0" w:space="1" w:color="auto"/>
            <w:right w:val="none" w:sz="0" w:space="4" w:color="auto"/>
          </w:pgBorders>
          <w:pgNumType w:fmt="upperRoman" w:start="1"/>
          <w:cols w:space="720"/>
          <w:docGrid w:type="lines" w:linePitch="312"/>
        </w:sectPr>
      </w:pPr>
    </w:p>
    <w:p w:rsidR="00000000" w:rsidRDefault="00000000">
      <w:pPr>
        <w:pStyle w:val="affb"/>
        <w:spacing w:after="190"/>
        <w:rPr>
          <w:rFonts w:ascii="Times New Roman" w:hAnsi="Times New Roman" w:cs="Times New Roman" w:hint="default"/>
          <w:b/>
        </w:rPr>
      </w:pPr>
      <w:bookmarkStart w:id="0" w:name="_Toc20413"/>
      <w:bookmarkStart w:id="1" w:name="_Toc19492"/>
      <w:bookmarkStart w:id="2" w:name="_Toc487814583"/>
      <w:bookmarkStart w:id="3" w:name="_Toc31623"/>
      <w:bookmarkStart w:id="4" w:name="_Toc8117"/>
      <w:bookmarkStart w:id="5" w:name="_Toc133415889"/>
      <w:bookmarkStart w:id="6" w:name="_Toc17332"/>
      <w:bookmarkStart w:id="7" w:name="_Toc22226"/>
      <w:bookmarkStart w:id="8" w:name="_Toc3583"/>
      <w:bookmarkStart w:id="9" w:name="_Toc487809670"/>
      <w:bookmarkStart w:id="10" w:name="_Toc2061"/>
      <w:bookmarkStart w:id="11" w:name="_Toc487812632"/>
      <w:bookmarkStart w:id="12" w:name="_Toc12927"/>
      <w:bookmarkStart w:id="13" w:name="_Toc26109"/>
      <w:bookmarkStart w:id="14" w:name="_Toc1830"/>
      <w:bookmarkStart w:id="15" w:name="_Toc20672"/>
      <w:r>
        <w:rPr>
          <w:rFonts w:ascii="Times New Roman" w:hAnsi="Times New Roman" w:cs="Times New Roman" w:hint="default"/>
          <w:b/>
        </w:rPr>
        <w:lastRenderedPageBreak/>
        <w:t>目</w:t>
      </w:r>
      <w:r>
        <w:rPr>
          <w:rFonts w:ascii="Times New Roman" w:hAnsi="Times New Roman" w:cs="Times New Roman" w:hint="default"/>
          <w:b/>
        </w:rPr>
        <w:t xml:space="preserve">  </w:t>
      </w:r>
      <w:r>
        <w:rPr>
          <w:rFonts w:ascii="Times New Roman" w:hAnsi="Times New Roman" w:cs="Times New Roman" w:hint="default"/>
          <w:b/>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000000" w:rsidRDefault="00000000">
      <w:pPr>
        <w:pStyle w:val="TOC1"/>
        <w:tabs>
          <w:tab w:val="right" w:leader="dot" w:pos="8845"/>
        </w:tabs>
        <w:rPr>
          <w:rFonts w:eastAsia="仿宋"/>
          <w:sz w:val="24"/>
        </w:rPr>
      </w:pPr>
      <w:r>
        <w:rPr>
          <w:rFonts w:eastAsia="仿宋"/>
          <w:sz w:val="24"/>
        </w:rPr>
        <w:fldChar w:fldCharType="begin"/>
      </w:r>
      <w:r>
        <w:rPr>
          <w:rFonts w:eastAsia="仿宋"/>
          <w:sz w:val="24"/>
        </w:rPr>
        <w:instrText xml:space="preserve">TOC \o "1-3" \h \u </w:instrText>
      </w:r>
      <w:r>
        <w:rPr>
          <w:rFonts w:eastAsia="仿宋"/>
          <w:sz w:val="24"/>
        </w:rPr>
        <w:fldChar w:fldCharType="separate"/>
      </w:r>
      <w:hyperlink w:anchor="_Toc18159" w:history="1">
        <w:r>
          <w:rPr>
            <w:rFonts w:eastAsia="仿宋"/>
            <w:sz w:val="24"/>
          </w:rPr>
          <w:t>第一章</w:t>
        </w:r>
        <w:r>
          <w:rPr>
            <w:rFonts w:eastAsia="仿宋"/>
            <w:sz w:val="24"/>
          </w:rPr>
          <w:t xml:space="preserve"> OLED</w:t>
        </w:r>
        <w:r>
          <w:rPr>
            <w:rFonts w:eastAsia="仿宋"/>
            <w:sz w:val="24"/>
          </w:rPr>
          <w:t>发光材料产业发展现状</w:t>
        </w:r>
        <w:r>
          <w:rPr>
            <w:rFonts w:eastAsia="仿宋"/>
            <w:sz w:val="24"/>
          </w:rPr>
          <w:tab/>
        </w:r>
        <w:r>
          <w:rPr>
            <w:rFonts w:eastAsia="仿宋"/>
            <w:sz w:val="24"/>
          </w:rPr>
          <w:fldChar w:fldCharType="begin"/>
        </w:r>
        <w:r>
          <w:rPr>
            <w:rFonts w:eastAsia="仿宋"/>
            <w:sz w:val="24"/>
          </w:rPr>
          <w:instrText xml:space="preserve"> PAGEREF _Toc18159 \h </w:instrText>
        </w:r>
        <w:r>
          <w:rPr>
            <w:rFonts w:eastAsia="仿宋"/>
            <w:sz w:val="24"/>
          </w:rPr>
          <w:fldChar w:fldCharType="separate"/>
        </w:r>
        <w:r>
          <w:rPr>
            <w:rFonts w:eastAsia="仿宋"/>
            <w:sz w:val="24"/>
          </w:rPr>
          <w:t>1</w:t>
        </w:r>
        <w:r>
          <w:rPr>
            <w:rFonts w:eastAsia="仿宋"/>
            <w:sz w:val="24"/>
          </w:rPr>
          <w:fldChar w:fldCharType="end"/>
        </w:r>
      </w:hyperlink>
    </w:p>
    <w:p w:rsidR="00000000" w:rsidRDefault="00000000">
      <w:pPr>
        <w:pStyle w:val="TOC2"/>
        <w:tabs>
          <w:tab w:val="right" w:leader="dot" w:pos="8845"/>
        </w:tabs>
        <w:rPr>
          <w:rFonts w:eastAsia="仿宋"/>
          <w:sz w:val="24"/>
        </w:rPr>
      </w:pPr>
      <w:hyperlink w:anchor="_Toc9096" w:history="1">
        <w:r>
          <w:rPr>
            <w:rFonts w:eastAsia="仿宋"/>
            <w:sz w:val="24"/>
          </w:rPr>
          <w:t>1.1 OLED</w:t>
        </w:r>
        <w:r>
          <w:rPr>
            <w:rFonts w:eastAsia="仿宋"/>
            <w:sz w:val="24"/>
          </w:rPr>
          <w:t>发光材料产业发展概述</w:t>
        </w:r>
        <w:r>
          <w:rPr>
            <w:rFonts w:eastAsia="仿宋"/>
            <w:sz w:val="24"/>
          </w:rPr>
          <w:tab/>
        </w:r>
        <w:r>
          <w:rPr>
            <w:rFonts w:eastAsia="仿宋"/>
            <w:sz w:val="24"/>
          </w:rPr>
          <w:fldChar w:fldCharType="begin"/>
        </w:r>
        <w:r>
          <w:rPr>
            <w:rFonts w:eastAsia="仿宋"/>
            <w:sz w:val="24"/>
          </w:rPr>
          <w:instrText xml:space="preserve"> PAGEREF _Toc9096 \h </w:instrText>
        </w:r>
        <w:r>
          <w:rPr>
            <w:rFonts w:eastAsia="仿宋"/>
            <w:sz w:val="24"/>
          </w:rPr>
          <w:fldChar w:fldCharType="separate"/>
        </w:r>
        <w:r>
          <w:rPr>
            <w:rFonts w:eastAsia="仿宋"/>
            <w:sz w:val="24"/>
          </w:rPr>
          <w:t>1</w:t>
        </w:r>
        <w:r>
          <w:rPr>
            <w:rFonts w:eastAsia="仿宋"/>
            <w:sz w:val="24"/>
          </w:rPr>
          <w:fldChar w:fldCharType="end"/>
        </w:r>
      </w:hyperlink>
    </w:p>
    <w:p w:rsidR="00000000" w:rsidRDefault="00000000">
      <w:pPr>
        <w:pStyle w:val="TOC3"/>
        <w:tabs>
          <w:tab w:val="right" w:leader="dot" w:pos="8845"/>
        </w:tabs>
        <w:rPr>
          <w:rFonts w:eastAsia="仿宋"/>
          <w:sz w:val="24"/>
        </w:rPr>
      </w:pPr>
      <w:hyperlink w:anchor="_Toc27036" w:history="1">
        <w:r>
          <w:rPr>
            <w:rFonts w:eastAsia="仿宋"/>
            <w:sz w:val="24"/>
          </w:rPr>
          <w:t>1.1.1 OLED</w:t>
        </w:r>
        <w:r>
          <w:rPr>
            <w:rFonts w:eastAsia="仿宋"/>
            <w:sz w:val="24"/>
          </w:rPr>
          <w:t>发光材料产业市场规模</w:t>
        </w:r>
        <w:r>
          <w:rPr>
            <w:rFonts w:eastAsia="仿宋"/>
            <w:sz w:val="24"/>
          </w:rPr>
          <w:tab/>
        </w:r>
        <w:r>
          <w:rPr>
            <w:rFonts w:eastAsia="仿宋"/>
            <w:sz w:val="24"/>
          </w:rPr>
          <w:fldChar w:fldCharType="begin"/>
        </w:r>
        <w:r>
          <w:rPr>
            <w:rFonts w:eastAsia="仿宋"/>
            <w:sz w:val="24"/>
          </w:rPr>
          <w:instrText xml:space="preserve"> PAGEREF _Toc27036 \h </w:instrText>
        </w:r>
        <w:r>
          <w:rPr>
            <w:rFonts w:eastAsia="仿宋"/>
            <w:sz w:val="24"/>
          </w:rPr>
          <w:fldChar w:fldCharType="separate"/>
        </w:r>
        <w:r>
          <w:rPr>
            <w:rFonts w:eastAsia="仿宋"/>
            <w:sz w:val="24"/>
          </w:rPr>
          <w:t>1</w:t>
        </w:r>
        <w:r>
          <w:rPr>
            <w:rFonts w:eastAsia="仿宋"/>
            <w:sz w:val="24"/>
          </w:rPr>
          <w:fldChar w:fldCharType="end"/>
        </w:r>
      </w:hyperlink>
    </w:p>
    <w:p w:rsidR="00000000" w:rsidRDefault="00000000">
      <w:pPr>
        <w:pStyle w:val="TOC3"/>
        <w:tabs>
          <w:tab w:val="right" w:leader="dot" w:pos="8845"/>
        </w:tabs>
        <w:rPr>
          <w:rFonts w:eastAsia="仿宋"/>
          <w:sz w:val="24"/>
        </w:rPr>
      </w:pPr>
      <w:hyperlink w:anchor="_Toc13625" w:history="1">
        <w:r>
          <w:rPr>
            <w:rFonts w:eastAsia="仿宋"/>
            <w:sz w:val="24"/>
          </w:rPr>
          <w:t>1.1.2 OLED</w:t>
        </w:r>
        <w:r>
          <w:rPr>
            <w:rFonts w:eastAsia="仿宋"/>
            <w:sz w:val="24"/>
          </w:rPr>
          <w:t>发光材料产业竞争格局</w:t>
        </w:r>
        <w:r>
          <w:rPr>
            <w:rFonts w:eastAsia="仿宋"/>
            <w:sz w:val="24"/>
          </w:rPr>
          <w:tab/>
        </w:r>
        <w:r>
          <w:rPr>
            <w:rFonts w:eastAsia="仿宋"/>
            <w:sz w:val="24"/>
          </w:rPr>
          <w:fldChar w:fldCharType="begin"/>
        </w:r>
        <w:r>
          <w:rPr>
            <w:rFonts w:eastAsia="仿宋"/>
            <w:sz w:val="24"/>
          </w:rPr>
          <w:instrText xml:space="preserve"> PAGEREF _Toc13625 \h </w:instrText>
        </w:r>
        <w:r>
          <w:rPr>
            <w:rFonts w:eastAsia="仿宋"/>
            <w:sz w:val="24"/>
          </w:rPr>
          <w:fldChar w:fldCharType="separate"/>
        </w:r>
        <w:r>
          <w:rPr>
            <w:rFonts w:eastAsia="仿宋"/>
            <w:sz w:val="24"/>
          </w:rPr>
          <w:t>1</w:t>
        </w:r>
        <w:r>
          <w:rPr>
            <w:rFonts w:eastAsia="仿宋"/>
            <w:sz w:val="24"/>
          </w:rPr>
          <w:fldChar w:fldCharType="end"/>
        </w:r>
      </w:hyperlink>
    </w:p>
    <w:p w:rsidR="00000000" w:rsidRDefault="00000000">
      <w:pPr>
        <w:pStyle w:val="TOC3"/>
        <w:tabs>
          <w:tab w:val="right" w:leader="dot" w:pos="8845"/>
        </w:tabs>
        <w:rPr>
          <w:rFonts w:eastAsia="仿宋"/>
          <w:sz w:val="24"/>
        </w:rPr>
      </w:pPr>
      <w:hyperlink w:anchor="_Toc9356" w:history="1">
        <w:r>
          <w:rPr>
            <w:rFonts w:eastAsia="仿宋"/>
            <w:sz w:val="24"/>
          </w:rPr>
          <w:t>1.1.3 OLED</w:t>
        </w:r>
        <w:r>
          <w:rPr>
            <w:rFonts w:eastAsia="仿宋"/>
            <w:sz w:val="24"/>
          </w:rPr>
          <w:t>发光材料产业市场需求</w:t>
        </w:r>
        <w:r>
          <w:rPr>
            <w:rFonts w:eastAsia="仿宋"/>
            <w:sz w:val="24"/>
          </w:rPr>
          <w:tab/>
        </w:r>
        <w:r>
          <w:rPr>
            <w:rFonts w:eastAsia="仿宋"/>
            <w:sz w:val="24"/>
          </w:rPr>
          <w:fldChar w:fldCharType="begin"/>
        </w:r>
        <w:r>
          <w:rPr>
            <w:rFonts w:eastAsia="仿宋"/>
            <w:sz w:val="24"/>
          </w:rPr>
          <w:instrText xml:space="preserve"> PAGEREF _Toc9356 \h </w:instrText>
        </w:r>
        <w:r>
          <w:rPr>
            <w:rFonts w:eastAsia="仿宋"/>
            <w:sz w:val="24"/>
          </w:rPr>
          <w:fldChar w:fldCharType="separate"/>
        </w:r>
        <w:r>
          <w:rPr>
            <w:rFonts w:eastAsia="仿宋"/>
            <w:sz w:val="24"/>
          </w:rPr>
          <w:t>2</w:t>
        </w:r>
        <w:r>
          <w:rPr>
            <w:rFonts w:eastAsia="仿宋"/>
            <w:sz w:val="24"/>
          </w:rPr>
          <w:fldChar w:fldCharType="end"/>
        </w:r>
      </w:hyperlink>
    </w:p>
    <w:p w:rsidR="00000000" w:rsidRDefault="00000000">
      <w:pPr>
        <w:pStyle w:val="TOC3"/>
        <w:tabs>
          <w:tab w:val="right" w:leader="dot" w:pos="8845"/>
        </w:tabs>
        <w:rPr>
          <w:rFonts w:eastAsia="仿宋"/>
          <w:sz w:val="24"/>
        </w:rPr>
      </w:pPr>
      <w:hyperlink w:anchor="_Toc7427" w:history="1">
        <w:r>
          <w:rPr>
            <w:rFonts w:eastAsia="仿宋"/>
            <w:sz w:val="24"/>
          </w:rPr>
          <w:t>1.1.4 OLED</w:t>
        </w:r>
        <w:r>
          <w:rPr>
            <w:rFonts w:eastAsia="仿宋"/>
            <w:sz w:val="24"/>
          </w:rPr>
          <w:t>发光材料产业政策环境</w:t>
        </w:r>
        <w:r>
          <w:rPr>
            <w:rFonts w:eastAsia="仿宋"/>
            <w:sz w:val="24"/>
          </w:rPr>
          <w:tab/>
        </w:r>
        <w:r>
          <w:rPr>
            <w:rFonts w:eastAsia="仿宋"/>
            <w:sz w:val="24"/>
          </w:rPr>
          <w:fldChar w:fldCharType="begin"/>
        </w:r>
        <w:r>
          <w:rPr>
            <w:rFonts w:eastAsia="仿宋"/>
            <w:sz w:val="24"/>
          </w:rPr>
          <w:instrText xml:space="preserve"> PAGEREF _Toc7427 \h </w:instrText>
        </w:r>
        <w:r>
          <w:rPr>
            <w:rFonts w:eastAsia="仿宋"/>
            <w:sz w:val="24"/>
          </w:rPr>
          <w:fldChar w:fldCharType="separate"/>
        </w:r>
        <w:r>
          <w:rPr>
            <w:rFonts w:eastAsia="仿宋"/>
            <w:sz w:val="24"/>
          </w:rPr>
          <w:t>3</w:t>
        </w:r>
        <w:r>
          <w:rPr>
            <w:rFonts w:eastAsia="仿宋"/>
            <w:sz w:val="24"/>
          </w:rPr>
          <w:fldChar w:fldCharType="end"/>
        </w:r>
      </w:hyperlink>
    </w:p>
    <w:p w:rsidR="00000000" w:rsidRDefault="00000000">
      <w:pPr>
        <w:pStyle w:val="TOC3"/>
        <w:tabs>
          <w:tab w:val="right" w:leader="dot" w:pos="8845"/>
        </w:tabs>
        <w:rPr>
          <w:rFonts w:eastAsia="仿宋"/>
          <w:sz w:val="24"/>
        </w:rPr>
      </w:pPr>
      <w:hyperlink w:anchor="_Toc27002" w:history="1">
        <w:r>
          <w:rPr>
            <w:rFonts w:eastAsia="仿宋"/>
            <w:sz w:val="24"/>
          </w:rPr>
          <w:t>1.1.5 OLED</w:t>
        </w:r>
        <w:r>
          <w:rPr>
            <w:rFonts w:eastAsia="仿宋"/>
            <w:sz w:val="24"/>
          </w:rPr>
          <w:t>发光材料产业发展历程</w:t>
        </w:r>
        <w:r>
          <w:rPr>
            <w:rFonts w:eastAsia="仿宋"/>
            <w:sz w:val="24"/>
          </w:rPr>
          <w:tab/>
        </w:r>
        <w:r>
          <w:rPr>
            <w:rFonts w:eastAsia="仿宋"/>
            <w:sz w:val="24"/>
          </w:rPr>
          <w:fldChar w:fldCharType="begin"/>
        </w:r>
        <w:r>
          <w:rPr>
            <w:rFonts w:eastAsia="仿宋"/>
            <w:sz w:val="24"/>
          </w:rPr>
          <w:instrText xml:space="preserve"> PAGEREF _Toc27002 \h </w:instrText>
        </w:r>
        <w:r>
          <w:rPr>
            <w:rFonts w:eastAsia="仿宋"/>
            <w:sz w:val="24"/>
          </w:rPr>
          <w:fldChar w:fldCharType="separate"/>
        </w:r>
        <w:r>
          <w:rPr>
            <w:rFonts w:eastAsia="仿宋"/>
            <w:sz w:val="24"/>
          </w:rPr>
          <w:t>4</w:t>
        </w:r>
        <w:r>
          <w:rPr>
            <w:rFonts w:eastAsia="仿宋"/>
            <w:sz w:val="24"/>
          </w:rPr>
          <w:fldChar w:fldCharType="end"/>
        </w:r>
      </w:hyperlink>
    </w:p>
    <w:p w:rsidR="00000000" w:rsidRDefault="00000000">
      <w:pPr>
        <w:pStyle w:val="TOC2"/>
        <w:tabs>
          <w:tab w:val="right" w:leader="dot" w:pos="8845"/>
        </w:tabs>
        <w:rPr>
          <w:rFonts w:eastAsia="仿宋"/>
          <w:sz w:val="24"/>
        </w:rPr>
      </w:pPr>
      <w:hyperlink w:anchor="_Toc1770" w:history="1">
        <w:r>
          <w:rPr>
            <w:rFonts w:eastAsia="仿宋"/>
            <w:sz w:val="24"/>
          </w:rPr>
          <w:t>1.2 OLED</w:t>
        </w:r>
        <w:r>
          <w:rPr>
            <w:rFonts w:eastAsia="仿宋"/>
            <w:sz w:val="24"/>
          </w:rPr>
          <w:t>发光材料产业结构</w:t>
        </w:r>
        <w:r>
          <w:rPr>
            <w:rFonts w:eastAsia="仿宋"/>
            <w:sz w:val="24"/>
          </w:rPr>
          <w:tab/>
        </w:r>
        <w:r>
          <w:rPr>
            <w:rFonts w:eastAsia="仿宋"/>
            <w:sz w:val="24"/>
          </w:rPr>
          <w:fldChar w:fldCharType="begin"/>
        </w:r>
        <w:r>
          <w:rPr>
            <w:rFonts w:eastAsia="仿宋"/>
            <w:sz w:val="24"/>
          </w:rPr>
          <w:instrText xml:space="preserve"> PAGEREF _Toc1770 \h </w:instrText>
        </w:r>
        <w:r>
          <w:rPr>
            <w:rFonts w:eastAsia="仿宋"/>
            <w:sz w:val="24"/>
          </w:rPr>
          <w:fldChar w:fldCharType="separate"/>
        </w:r>
        <w:r>
          <w:rPr>
            <w:rFonts w:eastAsia="仿宋"/>
            <w:sz w:val="24"/>
          </w:rPr>
          <w:t>5</w:t>
        </w:r>
        <w:r>
          <w:rPr>
            <w:rFonts w:eastAsia="仿宋"/>
            <w:sz w:val="24"/>
          </w:rPr>
          <w:fldChar w:fldCharType="end"/>
        </w:r>
      </w:hyperlink>
    </w:p>
    <w:p w:rsidR="00000000" w:rsidRDefault="00000000">
      <w:pPr>
        <w:pStyle w:val="TOC3"/>
        <w:tabs>
          <w:tab w:val="right" w:leader="dot" w:pos="8845"/>
        </w:tabs>
        <w:rPr>
          <w:rFonts w:eastAsia="仿宋"/>
          <w:sz w:val="24"/>
        </w:rPr>
      </w:pPr>
      <w:hyperlink w:anchor="_Toc30924" w:history="1">
        <w:r>
          <w:rPr>
            <w:rFonts w:eastAsia="仿宋"/>
            <w:sz w:val="24"/>
          </w:rPr>
          <w:t>1.2.1 OLED</w:t>
        </w:r>
        <w:r>
          <w:rPr>
            <w:rFonts w:eastAsia="仿宋"/>
            <w:sz w:val="24"/>
          </w:rPr>
          <w:t>发光材料定义</w:t>
        </w:r>
        <w:r>
          <w:rPr>
            <w:rFonts w:eastAsia="仿宋"/>
            <w:sz w:val="24"/>
          </w:rPr>
          <w:tab/>
        </w:r>
        <w:r>
          <w:rPr>
            <w:rFonts w:eastAsia="仿宋"/>
            <w:sz w:val="24"/>
          </w:rPr>
          <w:fldChar w:fldCharType="begin"/>
        </w:r>
        <w:r>
          <w:rPr>
            <w:rFonts w:eastAsia="仿宋"/>
            <w:sz w:val="24"/>
          </w:rPr>
          <w:instrText xml:space="preserve"> PAGEREF _Toc30924 \h </w:instrText>
        </w:r>
        <w:r>
          <w:rPr>
            <w:rFonts w:eastAsia="仿宋"/>
            <w:sz w:val="24"/>
          </w:rPr>
          <w:fldChar w:fldCharType="separate"/>
        </w:r>
        <w:r>
          <w:rPr>
            <w:rFonts w:eastAsia="仿宋"/>
            <w:sz w:val="24"/>
          </w:rPr>
          <w:t>5</w:t>
        </w:r>
        <w:r>
          <w:rPr>
            <w:rFonts w:eastAsia="仿宋"/>
            <w:sz w:val="24"/>
          </w:rPr>
          <w:fldChar w:fldCharType="end"/>
        </w:r>
      </w:hyperlink>
    </w:p>
    <w:p w:rsidR="00000000" w:rsidRDefault="00000000">
      <w:pPr>
        <w:pStyle w:val="TOC3"/>
        <w:tabs>
          <w:tab w:val="right" w:leader="dot" w:pos="8845"/>
        </w:tabs>
        <w:rPr>
          <w:rFonts w:eastAsia="仿宋"/>
          <w:sz w:val="24"/>
        </w:rPr>
      </w:pPr>
      <w:hyperlink w:anchor="_Toc3204" w:history="1">
        <w:r>
          <w:rPr>
            <w:rFonts w:eastAsia="仿宋"/>
            <w:sz w:val="24"/>
          </w:rPr>
          <w:t>1.2.2 OLED</w:t>
        </w:r>
        <w:r>
          <w:rPr>
            <w:rFonts w:eastAsia="仿宋"/>
            <w:sz w:val="24"/>
          </w:rPr>
          <w:t>发光材料产业结构及产业链与企业的关系</w:t>
        </w:r>
        <w:r>
          <w:rPr>
            <w:rFonts w:eastAsia="仿宋"/>
            <w:sz w:val="24"/>
          </w:rPr>
          <w:tab/>
        </w:r>
        <w:r>
          <w:rPr>
            <w:rFonts w:eastAsia="仿宋"/>
            <w:sz w:val="24"/>
          </w:rPr>
          <w:fldChar w:fldCharType="begin"/>
        </w:r>
        <w:r>
          <w:rPr>
            <w:rFonts w:eastAsia="仿宋"/>
            <w:sz w:val="24"/>
          </w:rPr>
          <w:instrText xml:space="preserve"> PAGEREF _Toc3204 \h </w:instrText>
        </w:r>
        <w:r>
          <w:rPr>
            <w:rFonts w:eastAsia="仿宋"/>
            <w:sz w:val="24"/>
          </w:rPr>
          <w:fldChar w:fldCharType="separate"/>
        </w:r>
        <w:r>
          <w:rPr>
            <w:rFonts w:eastAsia="仿宋"/>
            <w:sz w:val="24"/>
          </w:rPr>
          <w:t>6</w:t>
        </w:r>
        <w:r>
          <w:rPr>
            <w:rFonts w:eastAsia="仿宋"/>
            <w:sz w:val="24"/>
          </w:rPr>
          <w:fldChar w:fldCharType="end"/>
        </w:r>
      </w:hyperlink>
    </w:p>
    <w:p w:rsidR="00000000" w:rsidRDefault="00000000">
      <w:pPr>
        <w:pStyle w:val="TOC2"/>
        <w:tabs>
          <w:tab w:val="right" w:leader="dot" w:pos="8845"/>
        </w:tabs>
        <w:rPr>
          <w:rFonts w:eastAsia="仿宋"/>
          <w:sz w:val="24"/>
        </w:rPr>
      </w:pPr>
      <w:hyperlink w:anchor="_Toc32117" w:history="1">
        <w:r>
          <w:rPr>
            <w:rFonts w:eastAsia="仿宋"/>
            <w:sz w:val="24"/>
          </w:rPr>
          <w:t xml:space="preserve">1.3 </w:t>
        </w:r>
        <w:r>
          <w:rPr>
            <w:rFonts w:eastAsia="仿宋"/>
            <w:sz w:val="24"/>
          </w:rPr>
          <w:t>吉林省</w:t>
        </w:r>
        <w:r>
          <w:rPr>
            <w:rFonts w:eastAsia="仿宋"/>
            <w:sz w:val="24"/>
          </w:rPr>
          <w:t>OLED</w:t>
        </w:r>
        <w:r>
          <w:rPr>
            <w:rFonts w:eastAsia="仿宋"/>
            <w:sz w:val="24"/>
          </w:rPr>
          <w:t>发光材料产业现状及问题</w:t>
        </w:r>
        <w:r>
          <w:rPr>
            <w:rFonts w:eastAsia="仿宋"/>
            <w:sz w:val="24"/>
          </w:rPr>
          <w:tab/>
        </w:r>
        <w:r>
          <w:rPr>
            <w:rFonts w:eastAsia="仿宋"/>
            <w:sz w:val="24"/>
          </w:rPr>
          <w:fldChar w:fldCharType="begin"/>
        </w:r>
        <w:r>
          <w:rPr>
            <w:rFonts w:eastAsia="仿宋"/>
            <w:sz w:val="24"/>
          </w:rPr>
          <w:instrText xml:space="preserve"> PAGEREF _Toc32117 \h </w:instrText>
        </w:r>
        <w:r>
          <w:rPr>
            <w:rFonts w:eastAsia="仿宋"/>
            <w:sz w:val="24"/>
          </w:rPr>
          <w:fldChar w:fldCharType="separate"/>
        </w:r>
        <w:r>
          <w:rPr>
            <w:rFonts w:eastAsia="仿宋"/>
            <w:sz w:val="24"/>
          </w:rPr>
          <w:t>7</w:t>
        </w:r>
        <w:r>
          <w:rPr>
            <w:rFonts w:eastAsia="仿宋"/>
            <w:sz w:val="24"/>
          </w:rPr>
          <w:fldChar w:fldCharType="end"/>
        </w:r>
      </w:hyperlink>
    </w:p>
    <w:p w:rsidR="00000000" w:rsidRDefault="00000000">
      <w:pPr>
        <w:pStyle w:val="TOC1"/>
        <w:tabs>
          <w:tab w:val="right" w:leader="dot" w:pos="8845"/>
        </w:tabs>
        <w:rPr>
          <w:rFonts w:eastAsia="仿宋"/>
          <w:sz w:val="24"/>
        </w:rPr>
      </w:pPr>
      <w:hyperlink w:anchor="_Toc11713" w:history="1">
        <w:r>
          <w:rPr>
            <w:rFonts w:eastAsia="仿宋"/>
            <w:sz w:val="24"/>
          </w:rPr>
          <w:t>第二章</w:t>
        </w:r>
        <w:r>
          <w:rPr>
            <w:rFonts w:eastAsia="仿宋"/>
            <w:sz w:val="24"/>
          </w:rPr>
          <w:t xml:space="preserve"> OLED</w:t>
        </w:r>
        <w:r>
          <w:rPr>
            <w:rFonts w:eastAsia="仿宋"/>
            <w:sz w:val="24"/>
          </w:rPr>
          <w:t>发光材料产业研究方法</w:t>
        </w:r>
        <w:r>
          <w:rPr>
            <w:rFonts w:eastAsia="仿宋"/>
            <w:sz w:val="24"/>
          </w:rPr>
          <w:tab/>
        </w:r>
        <w:r>
          <w:rPr>
            <w:rFonts w:eastAsia="仿宋"/>
            <w:sz w:val="24"/>
          </w:rPr>
          <w:fldChar w:fldCharType="begin"/>
        </w:r>
        <w:r>
          <w:rPr>
            <w:rFonts w:eastAsia="仿宋"/>
            <w:sz w:val="24"/>
          </w:rPr>
          <w:instrText xml:space="preserve"> PAGEREF _Toc11713 \h </w:instrText>
        </w:r>
        <w:r>
          <w:rPr>
            <w:rFonts w:eastAsia="仿宋"/>
            <w:sz w:val="24"/>
          </w:rPr>
          <w:fldChar w:fldCharType="separate"/>
        </w:r>
        <w:r>
          <w:rPr>
            <w:rFonts w:eastAsia="仿宋"/>
            <w:sz w:val="24"/>
          </w:rPr>
          <w:t>8</w:t>
        </w:r>
        <w:r>
          <w:rPr>
            <w:rFonts w:eastAsia="仿宋"/>
            <w:sz w:val="24"/>
          </w:rPr>
          <w:fldChar w:fldCharType="end"/>
        </w:r>
      </w:hyperlink>
    </w:p>
    <w:p w:rsidR="00000000" w:rsidRDefault="00000000">
      <w:pPr>
        <w:pStyle w:val="TOC2"/>
        <w:tabs>
          <w:tab w:val="right" w:leader="dot" w:pos="8845"/>
        </w:tabs>
        <w:rPr>
          <w:rFonts w:eastAsia="仿宋"/>
          <w:sz w:val="24"/>
        </w:rPr>
      </w:pPr>
      <w:hyperlink w:anchor="_Toc15666" w:history="1">
        <w:r>
          <w:rPr>
            <w:rFonts w:eastAsia="仿宋"/>
            <w:sz w:val="24"/>
          </w:rPr>
          <w:t xml:space="preserve">2.1 </w:t>
        </w:r>
        <w:r>
          <w:rPr>
            <w:rFonts w:eastAsia="仿宋"/>
            <w:sz w:val="24"/>
          </w:rPr>
          <w:t>研究方法</w:t>
        </w:r>
        <w:r>
          <w:rPr>
            <w:rFonts w:eastAsia="仿宋"/>
            <w:sz w:val="24"/>
          </w:rPr>
          <w:tab/>
        </w:r>
        <w:r>
          <w:rPr>
            <w:rFonts w:eastAsia="仿宋"/>
            <w:sz w:val="24"/>
          </w:rPr>
          <w:fldChar w:fldCharType="begin"/>
        </w:r>
        <w:r>
          <w:rPr>
            <w:rFonts w:eastAsia="仿宋"/>
            <w:sz w:val="24"/>
          </w:rPr>
          <w:instrText xml:space="preserve"> PAGEREF _Toc15666 \h </w:instrText>
        </w:r>
        <w:r>
          <w:rPr>
            <w:rFonts w:eastAsia="仿宋"/>
            <w:sz w:val="24"/>
          </w:rPr>
          <w:fldChar w:fldCharType="separate"/>
        </w:r>
        <w:r>
          <w:rPr>
            <w:rFonts w:eastAsia="仿宋"/>
            <w:sz w:val="24"/>
          </w:rPr>
          <w:t>8</w:t>
        </w:r>
        <w:r>
          <w:rPr>
            <w:rFonts w:eastAsia="仿宋"/>
            <w:sz w:val="24"/>
          </w:rPr>
          <w:fldChar w:fldCharType="end"/>
        </w:r>
      </w:hyperlink>
    </w:p>
    <w:p w:rsidR="00000000" w:rsidRDefault="00000000">
      <w:pPr>
        <w:pStyle w:val="TOC2"/>
        <w:tabs>
          <w:tab w:val="right" w:leader="dot" w:pos="8845"/>
        </w:tabs>
        <w:rPr>
          <w:rFonts w:eastAsia="仿宋"/>
          <w:sz w:val="24"/>
        </w:rPr>
      </w:pPr>
      <w:hyperlink w:anchor="_Toc28883" w:history="1">
        <w:r>
          <w:rPr>
            <w:rFonts w:eastAsia="仿宋"/>
            <w:sz w:val="24"/>
          </w:rPr>
          <w:t xml:space="preserve">2.2 </w:t>
        </w:r>
        <w:r>
          <w:rPr>
            <w:rFonts w:eastAsia="仿宋"/>
            <w:sz w:val="24"/>
          </w:rPr>
          <w:t>专利数据检索</w:t>
        </w:r>
        <w:r>
          <w:rPr>
            <w:rFonts w:eastAsia="仿宋"/>
            <w:sz w:val="24"/>
          </w:rPr>
          <w:tab/>
        </w:r>
        <w:r>
          <w:rPr>
            <w:rFonts w:eastAsia="仿宋"/>
            <w:sz w:val="24"/>
          </w:rPr>
          <w:fldChar w:fldCharType="begin"/>
        </w:r>
        <w:r>
          <w:rPr>
            <w:rFonts w:eastAsia="仿宋"/>
            <w:sz w:val="24"/>
          </w:rPr>
          <w:instrText xml:space="preserve"> PAGEREF _Toc28883 \h </w:instrText>
        </w:r>
        <w:r>
          <w:rPr>
            <w:rFonts w:eastAsia="仿宋"/>
            <w:sz w:val="24"/>
          </w:rPr>
          <w:fldChar w:fldCharType="separate"/>
        </w:r>
        <w:r>
          <w:rPr>
            <w:rFonts w:eastAsia="仿宋"/>
            <w:sz w:val="24"/>
          </w:rPr>
          <w:t>9</w:t>
        </w:r>
        <w:r>
          <w:rPr>
            <w:rFonts w:eastAsia="仿宋"/>
            <w:sz w:val="24"/>
          </w:rPr>
          <w:fldChar w:fldCharType="end"/>
        </w:r>
      </w:hyperlink>
    </w:p>
    <w:p w:rsidR="00000000" w:rsidRDefault="00000000">
      <w:pPr>
        <w:pStyle w:val="TOC3"/>
        <w:tabs>
          <w:tab w:val="right" w:leader="dot" w:pos="8845"/>
        </w:tabs>
        <w:rPr>
          <w:rFonts w:eastAsia="仿宋"/>
          <w:sz w:val="24"/>
        </w:rPr>
      </w:pPr>
      <w:hyperlink w:anchor="_Toc10051" w:history="1">
        <w:r>
          <w:rPr>
            <w:rFonts w:eastAsia="仿宋"/>
            <w:sz w:val="24"/>
          </w:rPr>
          <w:t xml:space="preserve">2.2.1 </w:t>
        </w:r>
        <w:r>
          <w:rPr>
            <w:rFonts w:eastAsia="仿宋"/>
            <w:sz w:val="24"/>
          </w:rPr>
          <w:t>数据来源和范围</w:t>
        </w:r>
        <w:r>
          <w:rPr>
            <w:rFonts w:eastAsia="仿宋"/>
            <w:sz w:val="24"/>
          </w:rPr>
          <w:tab/>
        </w:r>
        <w:r>
          <w:rPr>
            <w:rFonts w:eastAsia="仿宋"/>
            <w:sz w:val="24"/>
          </w:rPr>
          <w:fldChar w:fldCharType="begin"/>
        </w:r>
        <w:r>
          <w:rPr>
            <w:rFonts w:eastAsia="仿宋"/>
            <w:sz w:val="24"/>
          </w:rPr>
          <w:instrText xml:space="preserve"> PAGEREF _Toc10051 \h </w:instrText>
        </w:r>
        <w:r>
          <w:rPr>
            <w:rFonts w:eastAsia="仿宋"/>
            <w:sz w:val="24"/>
          </w:rPr>
          <w:fldChar w:fldCharType="separate"/>
        </w:r>
        <w:r>
          <w:rPr>
            <w:rFonts w:eastAsia="仿宋"/>
            <w:sz w:val="24"/>
          </w:rPr>
          <w:t>9</w:t>
        </w:r>
        <w:r>
          <w:rPr>
            <w:rFonts w:eastAsia="仿宋"/>
            <w:sz w:val="24"/>
          </w:rPr>
          <w:fldChar w:fldCharType="end"/>
        </w:r>
      </w:hyperlink>
    </w:p>
    <w:p w:rsidR="00000000" w:rsidRDefault="00000000">
      <w:pPr>
        <w:pStyle w:val="TOC3"/>
        <w:tabs>
          <w:tab w:val="right" w:leader="dot" w:pos="8845"/>
        </w:tabs>
        <w:rPr>
          <w:rFonts w:eastAsia="仿宋"/>
          <w:sz w:val="24"/>
        </w:rPr>
      </w:pPr>
      <w:hyperlink w:anchor="_Toc27239" w:history="1">
        <w:r>
          <w:rPr>
            <w:rFonts w:eastAsia="仿宋"/>
            <w:sz w:val="24"/>
          </w:rPr>
          <w:t xml:space="preserve">2.2.2 </w:t>
        </w:r>
        <w:r>
          <w:rPr>
            <w:rFonts w:eastAsia="仿宋"/>
            <w:sz w:val="24"/>
          </w:rPr>
          <w:t>检索策略</w:t>
        </w:r>
        <w:r>
          <w:rPr>
            <w:rFonts w:eastAsia="仿宋"/>
            <w:sz w:val="24"/>
          </w:rPr>
          <w:tab/>
        </w:r>
        <w:r>
          <w:rPr>
            <w:rFonts w:eastAsia="仿宋"/>
            <w:sz w:val="24"/>
          </w:rPr>
          <w:fldChar w:fldCharType="begin"/>
        </w:r>
        <w:r>
          <w:rPr>
            <w:rFonts w:eastAsia="仿宋"/>
            <w:sz w:val="24"/>
          </w:rPr>
          <w:instrText xml:space="preserve"> PAGEREF _Toc27239 \h </w:instrText>
        </w:r>
        <w:r>
          <w:rPr>
            <w:rFonts w:eastAsia="仿宋"/>
            <w:sz w:val="24"/>
          </w:rPr>
          <w:fldChar w:fldCharType="separate"/>
        </w:r>
        <w:r>
          <w:rPr>
            <w:rFonts w:eastAsia="仿宋"/>
            <w:sz w:val="24"/>
          </w:rPr>
          <w:t>9</w:t>
        </w:r>
        <w:r>
          <w:rPr>
            <w:rFonts w:eastAsia="仿宋"/>
            <w:sz w:val="24"/>
          </w:rPr>
          <w:fldChar w:fldCharType="end"/>
        </w:r>
      </w:hyperlink>
    </w:p>
    <w:p w:rsidR="00000000" w:rsidRDefault="00000000">
      <w:pPr>
        <w:pStyle w:val="TOC3"/>
        <w:tabs>
          <w:tab w:val="right" w:leader="dot" w:pos="8845"/>
        </w:tabs>
        <w:rPr>
          <w:rFonts w:eastAsia="仿宋"/>
          <w:sz w:val="24"/>
        </w:rPr>
      </w:pPr>
      <w:hyperlink w:anchor="_Toc7759" w:history="1">
        <w:r>
          <w:rPr>
            <w:rFonts w:eastAsia="仿宋"/>
            <w:sz w:val="24"/>
          </w:rPr>
          <w:t xml:space="preserve">2.2.3 </w:t>
        </w:r>
        <w:r>
          <w:rPr>
            <w:rFonts w:eastAsia="仿宋"/>
            <w:sz w:val="24"/>
          </w:rPr>
          <w:t>检索结果验证</w:t>
        </w:r>
        <w:r>
          <w:rPr>
            <w:rFonts w:eastAsia="仿宋"/>
            <w:sz w:val="24"/>
          </w:rPr>
          <w:tab/>
        </w:r>
        <w:r>
          <w:rPr>
            <w:rFonts w:eastAsia="仿宋"/>
            <w:sz w:val="24"/>
          </w:rPr>
          <w:fldChar w:fldCharType="begin"/>
        </w:r>
        <w:r>
          <w:rPr>
            <w:rFonts w:eastAsia="仿宋"/>
            <w:sz w:val="24"/>
          </w:rPr>
          <w:instrText xml:space="preserve"> PAGEREF _Toc7759 \h </w:instrText>
        </w:r>
        <w:r>
          <w:rPr>
            <w:rFonts w:eastAsia="仿宋"/>
            <w:sz w:val="24"/>
          </w:rPr>
          <w:fldChar w:fldCharType="separate"/>
        </w:r>
        <w:r>
          <w:rPr>
            <w:rFonts w:eastAsia="仿宋"/>
            <w:sz w:val="24"/>
          </w:rPr>
          <w:t>10</w:t>
        </w:r>
        <w:r>
          <w:rPr>
            <w:rFonts w:eastAsia="仿宋"/>
            <w:sz w:val="24"/>
          </w:rPr>
          <w:fldChar w:fldCharType="end"/>
        </w:r>
      </w:hyperlink>
    </w:p>
    <w:p w:rsidR="00000000" w:rsidRDefault="00000000">
      <w:pPr>
        <w:pStyle w:val="TOC3"/>
        <w:tabs>
          <w:tab w:val="right" w:leader="dot" w:pos="8845"/>
        </w:tabs>
        <w:rPr>
          <w:rFonts w:eastAsia="仿宋"/>
          <w:sz w:val="24"/>
        </w:rPr>
      </w:pPr>
      <w:hyperlink w:anchor="_Toc14477" w:history="1">
        <w:r>
          <w:rPr>
            <w:rFonts w:eastAsia="仿宋"/>
            <w:sz w:val="24"/>
          </w:rPr>
          <w:t xml:space="preserve">2.2.4 </w:t>
        </w:r>
        <w:r>
          <w:rPr>
            <w:rFonts w:eastAsia="仿宋"/>
            <w:sz w:val="24"/>
          </w:rPr>
          <w:t>数据筛选与数据处理</w:t>
        </w:r>
        <w:r>
          <w:rPr>
            <w:rFonts w:eastAsia="仿宋"/>
            <w:sz w:val="24"/>
          </w:rPr>
          <w:tab/>
        </w:r>
        <w:r>
          <w:rPr>
            <w:rFonts w:eastAsia="仿宋"/>
            <w:sz w:val="24"/>
          </w:rPr>
          <w:fldChar w:fldCharType="begin"/>
        </w:r>
        <w:r>
          <w:rPr>
            <w:rFonts w:eastAsia="仿宋"/>
            <w:sz w:val="24"/>
          </w:rPr>
          <w:instrText xml:space="preserve"> PAGEREF _Toc14477 \h </w:instrText>
        </w:r>
        <w:r>
          <w:rPr>
            <w:rFonts w:eastAsia="仿宋"/>
            <w:sz w:val="24"/>
          </w:rPr>
          <w:fldChar w:fldCharType="separate"/>
        </w:r>
        <w:r>
          <w:rPr>
            <w:rFonts w:eastAsia="仿宋"/>
            <w:sz w:val="24"/>
          </w:rPr>
          <w:t>10</w:t>
        </w:r>
        <w:r>
          <w:rPr>
            <w:rFonts w:eastAsia="仿宋"/>
            <w:sz w:val="24"/>
          </w:rPr>
          <w:fldChar w:fldCharType="end"/>
        </w:r>
      </w:hyperlink>
    </w:p>
    <w:p w:rsidR="00000000" w:rsidRDefault="00000000">
      <w:pPr>
        <w:pStyle w:val="TOC2"/>
        <w:tabs>
          <w:tab w:val="right" w:leader="dot" w:pos="8845"/>
        </w:tabs>
        <w:rPr>
          <w:rFonts w:eastAsia="仿宋"/>
          <w:sz w:val="24"/>
        </w:rPr>
      </w:pPr>
      <w:hyperlink w:anchor="_Toc32284" w:history="1">
        <w:r>
          <w:rPr>
            <w:rFonts w:eastAsia="仿宋"/>
            <w:sz w:val="24"/>
          </w:rPr>
          <w:t xml:space="preserve">2.3 </w:t>
        </w:r>
        <w:r>
          <w:rPr>
            <w:rFonts w:eastAsia="仿宋"/>
            <w:sz w:val="24"/>
          </w:rPr>
          <w:t>技术术语的解释和说明</w:t>
        </w:r>
        <w:r>
          <w:rPr>
            <w:rFonts w:eastAsia="仿宋"/>
            <w:sz w:val="24"/>
          </w:rPr>
          <w:tab/>
        </w:r>
        <w:r>
          <w:rPr>
            <w:rFonts w:eastAsia="仿宋"/>
            <w:sz w:val="24"/>
          </w:rPr>
          <w:fldChar w:fldCharType="begin"/>
        </w:r>
        <w:r>
          <w:rPr>
            <w:rFonts w:eastAsia="仿宋"/>
            <w:sz w:val="24"/>
          </w:rPr>
          <w:instrText xml:space="preserve"> PAGEREF _Toc32284 \h </w:instrText>
        </w:r>
        <w:r>
          <w:rPr>
            <w:rFonts w:eastAsia="仿宋"/>
            <w:sz w:val="24"/>
          </w:rPr>
          <w:fldChar w:fldCharType="separate"/>
        </w:r>
        <w:r>
          <w:rPr>
            <w:rFonts w:eastAsia="仿宋"/>
            <w:sz w:val="24"/>
          </w:rPr>
          <w:t>11</w:t>
        </w:r>
        <w:r>
          <w:rPr>
            <w:rFonts w:eastAsia="仿宋"/>
            <w:sz w:val="24"/>
          </w:rPr>
          <w:fldChar w:fldCharType="end"/>
        </w:r>
      </w:hyperlink>
    </w:p>
    <w:p w:rsidR="00000000" w:rsidRDefault="00000000">
      <w:pPr>
        <w:pStyle w:val="TOC1"/>
        <w:tabs>
          <w:tab w:val="right" w:leader="dot" w:pos="8845"/>
        </w:tabs>
        <w:rPr>
          <w:rFonts w:eastAsia="仿宋"/>
          <w:sz w:val="24"/>
        </w:rPr>
      </w:pPr>
      <w:hyperlink w:anchor="_Toc3590" w:history="1">
        <w:r>
          <w:rPr>
            <w:rFonts w:eastAsia="仿宋"/>
            <w:sz w:val="24"/>
          </w:rPr>
          <w:t>第三章</w:t>
        </w:r>
        <w:r>
          <w:rPr>
            <w:rFonts w:eastAsia="仿宋"/>
            <w:sz w:val="24"/>
          </w:rPr>
          <w:t xml:space="preserve"> OLED</w:t>
        </w:r>
        <w:r>
          <w:rPr>
            <w:rFonts w:eastAsia="仿宋"/>
            <w:sz w:val="24"/>
          </w:rPr>
          <w:t>发光材料产业发展方向分析</w:t>
        </w:r>
        <w:r>
          <w:rPr>
            <w:rFonts w:eastAsia="仿宋"/>
            <w:sz w:val="24"/>
          </w:rPr>
          <w:tab/>
        </w:r>
        <w:r>
          <w:rPr>
            <w:rFonts w:eastAsia="仿宋"/>
            <w:sz w:val="24"/>
          </w:rPr>
          <w:fldChar w:fldCharType="begin"/>
        </w:r>
        <w:r>
          <w:rPr>
            <w:rFonts w:eastAsia="仿宋"/>
            <w:sz w:val="24"/>
          </w:rPr>
          <w:instrText xml:space="preserve"> PAGEREF _Toc3590 \h </w:instrText>
        </w:r>
        <w:r>
          <w:rPr>
            <w:rFonts w:eastAsia="仿宋"/>
            <w:sz w:val="24"/>
          </w:rPr>
          <w:fldChar w:fldCharType="separate"/>
        </w:r>
        <w:r>
          <w:rPr>
            <w:rFonts w:eastAsia="仿宋"/>
            <w:sz w:val="24"/>
          </w:rPr>
          <w:t>12</w:t>
        </w:r>
        <w:r>
          <w:rPr>
            <w:rFonts w:eastAsia="仿宋"/>
            <w:sz w:val="24"/>
          </w:rPr>
          <w:fldChar w:fldCharType="end"/>
        </w:r>
      </w:hyperlink>
    </w:p>
    <w:p w:rsidR="00000000" w:rsidRDefault="00000000">
      <w:pPr>
        <w:pStyle w:val="TOC2"/>
        <w:tabs>
          <w:tab w:val="right" w:leader="dot" w:pos="8845"/>
        </w:tabs>
        <w:rPr>
          <w:rFonts w:eastAsia="仿宋"/>
          <w:sz w:val="24"/>
        </w:rPr>
      </w:pPr>
      <w:hyperlink w:anchor="_Toc9271" w:history="1">
        <w:r>
          <w:rPr>
            <w:rFonts w:eastAsia="仿宋"/>
            <w:sz w:val="24"/>
          </w:rPr>
          <w:t>3.1 OLED</w:t>
        </w:r>
        <w:r>
          <w:rPr>
            <w:rFonts w:eastAsia="仿宋"/>
            <w:sz w:val="24"/>
          </w:rPr>
          <w:t>发光材料产业创新发展与专利布局的关系</w:t>
        </w:r>
        <w:r>
          <w:rPr>
            <w:rFonts w:eastAsia="仿宋"/>
            <w:sz w:val="24"/>
          </w:rPr>
          <w:tab/>
        </w:r>
        <w:r>
          <w:rPr>
            <w:rFonts w:eastAsia="仿宋"/>
            <w:sz w:val="24"/>
          </w:rPr>
          <w:fldChar w:fldCharType="begin"/>
        </w:r>
        <w:r>
          <w:rPr>
            <w:rFonts w:eastAsia="仿宋"/>
            <w:sz w:val="24"/>
          </w:rPr>
          <w:instrText xml:space="preserve"> PAGEREF _Toc9271 \h </w:instrText>
        </w:r>
        <w:r>
          <w:rPr>
            <w:rFonts w:eastAsia="仿宋"/>
            <w:sz w:val="24"/>
          </w:rPr>
          <w:fldChar w:fldCharType="separate"/>
        </w:r>
        <w:r>
          <w:rPr>
            <w:rFonts w:eastAsia="仿宋"/>
            <w:sz w:val="24"/>
          </w:rPr>
          <w:t>12</w:t>
        </w:r>
        <w:r>
          <w:rPr>
            <w:rFonts w:eastAsia="仿宋"/>
            <w:sz w:val="24"/>
          </w:rPr>
          <w:fldChar w:fldCharType="end"/>
        </w:r>
      </w:hyperlink>
    </w:p>
    <w:p w:rsidR="00000000" w:rsidRDefault="00000000">
      <w:pPr>
        <w:pStyle w:val="TOC3"/>
        <w:tabs>
          <w:tab w:val="right" w:leader="dot" w:pos="8845"/>
        </w:tabs>
        <w:rPr>
          <w:rFonts w:eastAsia="仿宋"/>
          <w:sz w:val="24"/>
        </w:rPr>
      </w:pPr>
      <w:hyperlink w:anchor="_Toc6346" w:history="1">
        <w:r>
          <w:rPr>
            <w:rFonts w:eastAsia="仿宋"/>
            <w:sz w:val="24"/>
          </w:rPr>
          <w:t xml:space="preserve">3.1.1 </w:t>
        </w:r>
        <w:r>
          <w:rPr>
            <w:rFonts w:eastAsia="仿宋"/>
            <w:sz w:val="24"/>
          </w:rPr>
          <w:t>技术发展角度与专利布局的关联度分析</w:t>
        </w:r>
        <w:r>
          <w:rPr>
            <w:rFonts w:eastAsia="仿宋"/>
            <w:sz w:val="24"/>
          </w:rPr>
          <w:tab/>
        </w:r>
        <w:r>
          <w:rPr>
            <w:rFonts w:eastAsia="仿宋"/>
            <w:sz w:val="24"/>
          </w:rPr>
          <w:fldChar w:fldCharType="begin"/>
        </w:r>
        <w:r>
          <w:rPr>
            <w:rFonts w:eastAsia="仿宋"/>
            <w:sz w:val="24"/>
          </w:rPr>
          <w:instrText xml:space="preserve"> PAGEREF _Toc6346 \h </w:instrText>
        </w:r>
        <w:r>
          <w:rPr>
            <w:rFonts w:eastAsia="仿宋"/>
            <w:sz w:val="24"/>
          </w:rPr>
          <w:fldChar w:fldCharType="separate"/>
        </w:r>
        <w:r>
          <w:rPr>
            <w:rFonts w:eastAsia="仿宋"/>
            <w:sz w:val="24"/>
          </w:rPr>
          <w:t>12</w:t>
        </w:r>
        <w:r>
          <w:rPr>
            <w:rFonts w:eastAsia="仿宋"/>
            <w:sz w:val="24"/>
          </w:rPr>
          <w:fldChar w:fldCharType="end"/>
        </w:r>
      </w:hyperlink>
    </w:p>
    <w:p w:rsidR="00000000" w:rsidRDefault="00000000">
      <w:pPr>
        <w:pStyle w:val="TOC3"/>
        <w:tabs>
          <w:tab w:val="right" w:leader="dot" w:pos="8845"/>
        </w:tabs>
        <w:rPr>
          <w:rFonts w:eastAsia="仿宋"/>
          <w:sz w:val="24"/>
        </w:rPr>
      </w:pPr>
      <w:hyperlink w:anchor="_Toc15052" w:history="1">
        <w:r>
          <w:rPr>
            <w:rFonts w:eastAsia="仿宋"/>
            <w:sz w:val="24"/>
          </w:rPr>
          <w:t>3.1.2 OLED</w:t>
        </w:r>
        <w:r>
          <w:rPr>
            <w:rFonts w:eastAsia="仿宋"/>
            <w:sz w:val="24"/>
          </w:rPr>
          <w:t>发光材料产业分支角度与专利布局的关联度分析</w:t>
        </w:r>
        <w:r>
          <w:rPr>
            <w:rFonts w:eastAsia="仿宋"/>
            <w:sz w:val="24"/>
          </w:rPr>
          <w:tab/>
        </w:r>
        <w:r>
          <w:rPr>
            <w:rFonts w:eastAsia="仿宋"/>
            <w:sz w:val="24"/>
          </w:rPr>
          <w:fldChar w:fldCharType="begin"/>
        </w:r>
        <w:r>
          <w:rPr>
            <w:rFonts w:eastAsia="仿宋"/>
            <w:sz w:val="24"/>
          </w:rPr>
          <w:instrText xml:space="preserve"> PAGEREF _Toc15052 \h </w:instrText>
        </w:r>
        <w:r>
          <w:rPr>
            <w:rFonts w:eastAsia="仿宋"/>
            <w:sz w:val="24"/>
          </w:rPr>
          <w:fldChar w:fldCharType="separate"/>
        </w:r>
        <w:r>
          <w:rPr>
            <w:rFonts w:eastAsia="仿宋"/>
            <w:sz w:val="24"/>
          </w:rPr>
          <w:t>13</w:t>
        </w:r>
        <w:r>
          <w:rPr>
            <w:rFonts w:eastAsia="仿宋"/>
            <w:sz w:val="24"/>
          </w:rPr>
          <w:fldChar w:fldCharType="end"/>
        </w:r>
      </w:hyperlink>
    </w:p>
    <w:p w:rsidR="00000000" w:rsidRDefault="00000000">
      <w:pPr>
        <w:pStyle w:val="TOC3"/>
        <w:tabs>
          <w:tab w:val="right" w:leader="dot" w:pos="8845"/>
        </w:tabs>
        <w:rPr>
          <w:rFonts w:eastAsia="仿宋"/>
          <w:sz w:val="24"/>
        </w:rPr>
      </w:pPr>
      <w:hyperlink w:anchor="_Toc9738" w:history="1">
        <w:r>
          <w:rPr>
            <w:rFonts w:eastAsia="仿宋"/>
            <w:sz w:val="24"/>
          </w:rPr>
          <w:t xml:space="preserve">3.1.3 </w:t>
        </w:r>
        <w:r>
          <w:rPr>
            <w:rFonts w:eastAsia="仿宋"/>
            <w:sz w:val="24"/>
          </w:rPr>
          <w:t>从市场竞争地位看</w:t>
        </w:r>
        <w:r>
          <w:rPr>
            <w:rFonts w:eastAsia="仿宋"/>
            <w:sz w:val="24"/>
          </w:rPr>
          <w:t>OLED</w:t>
        </w:r>
        <w:r>
          <w:rPr>
            <w:rFonts w:eastAsia="仿宋"/>
            <w:sz w:val="24"/>
          </w:rPr>
          <w:t>发光材料与专利布局的关联度</w:t>
        </w:r>
        <w:r>
          <w:rPr>
            <w:rFonts w:eastAsia="仿宋"/>
            <w:sz w:val="24"/>
          </w:rPr>
          <w:tab/>
        </w:r>
        <w:r>
          <w:rPr>
            <w:rFonts w:eastAsia="仿宋"/>
            <w:sz w:val="24"/>
          </w:rPr>
          <w:fldChar w:fldCharType="begin"/>
        </w:r>
        <w:r>
          <w:rPr>
            <w:rFonts w:eastAsia="仿宋"/>
            <w:sz w:val="24"/>
          </w:rPr>
          <w:instrText xml:space="preserve"> PAGEREF _Toc9738 \h </w:instrText>
        </w:r>
        <w:r>
          <w:rPr>
            <w:rFonts w:eastAsia="仿宋"/>
            <w:sz w:val="24"/>
          </w:rPr>
          <w:fldChar w:fldCharType="separate"/>
        </w:r>
        <w:r>
          <w:rPr>
            <w:rFonts w:eastAsia="仿宋"/>
            <w:sz w:val="24"/>
          </w:rPr>
          <w:t>14</w:t>
        </w:r>
        <w:r>
          <w:rPr>
            <w:rFonts w:eastAsia="仿宋"/>
            <w:sz w:val="24"/>
          </w:rPr>
          <w:fldChar w:fldCharType="end"/>
        </w:r>
      </w:hyperlink>
    </w:p>
    <w:p w:rsidR="00000000" w:rsidRDefault="00000000">
      <w:pPr>
        <w:pStyle w:val="TOC3"/>
        <w:tabs>
          <w:tab w:val="right" w:leader="dot" w:pos="8845"/>
        </w:tabs>
        <w:rPr>
          <w:rFonts w:eastAsia="仿宋"/>
          <w:sz w:val="24"/>
        </w:rPr>
      </w:pPr>
      <w:hyperlink w:anchor="_Toc16179" w:history="1">
        <w:r>
          <w:rPr>
            <w:rFonts w:eastAsia="仿宋"/>
            <w:sz w:val="24"/>
          </w:rPr>
          <w:t xml:space="preserve">3.1.4 </w:t>
        </w:r>
        <w:r>
          <w:rPr>
            <w:rFonts w:eastAsia="仿宋"/>
            <w:sz w:val="24"/>
          </w:rPr>
          <w:t>从国内产业格局看</w:t>
        </w:r>
        <w:r>
          <w:rPr>
            <w:rFonts w:eastAsia="仿宋"/>
            <w:sz w:val="24"/>
          </w:rPr>
          <w:t>OLED</w:t>
        </w:r>
        <w:r>
          <w:rPr>
            <w:rFonts w:eastAsia="仿宋"/>
            <w:sz w:val="24"/>
          </w:rPr>
          <w:t>发光材料与专利布局的关联度</w:t>
        </w:r>
        <w:r>
          <w:rPr>
            <w:rFonts w:eastAsia="仿宋"/>
            <w:sz w:val="24"/>
          </w:rPr>
          <w:tab/>
        </w:r>
        <w:r>
          <w:rPr>
            <w:rFonts w:eastAsia="仿宋"/>
            <w:sz w:val="24"/>
          </w:rPr>
          <w:fldChar w:fldCharType="begin"/>
        </w:r>
        <w:r>
          <w:rPr>
            <w:rFonts w:eastAsia="仿宋"/>
            <w:sz w:val="24"/>
          </w:rPr>
          <w:instrText xml:space="preserve"> PAGEREF _Toc16179 \h </w:instrText>
        </w:r>
        <w:r>
          <w:rPr>
            <w:rFonts w:eastAsia="仿宋"/>
            <w:sz w:val="24"/>
          </w:rPr>
          <w:fldChar w:fldCharType="separate"/>
        </w:r>
        <w:r>
          <w:rPr>
            <w:rFonts w:eastAsia="仿宋"/>
            <w:sz w:val="24"/>
          </w:rPr>
          <w:t>15</w:t>
        </w:r>
        <w:r>
          <w:rPr>
            <w:rFonts w:eastAsia="仿宋"/>
            <w:sz w:val="24"/>
          </w:rPr>
          <w:fldChar w:fldCharType="end"/>
        </w:r>
      </w:hyperlink>
    </w:p>
    <w:p w:rsidR="00000000" w:rsidRDefault="00000000">
      <w:pPr>
        <w:pStyle w:val="TOC2"/>
        <w:tabs>
          <w:tab w:val="right" w:leader="dot" w:pos="8845"/>
        </w:tabs>
        <w:rPr>
          <w:rFonts w:eastAsia="仿宋"/>
          <w:sz w:val="24"/>
        </w:rPr>
      </w:pPr>
      <w:hyperlink w:anchor="_Toc14076" w:history="1">
        <w:r>
          <w:rPr>
            <w:rFonts w:eastAsia="仿宋"/>
            <w:sz w:val="24"/>
          </w:rPr>
          <w:t>3.2 OLED</w:t>
        </w:r>
        <w:r>
          <w:rPr>
            <w:rFonts w:eastAsia="仿宋"/>
            <w:sz w:val="24"/>
          </w:rPr>
          <w:t>发光材料产业竞争中的专利控制力</w:t>
        </w:r>
        <w:r>
          <w:rPr>
            <w:rFonts w:eastAsia="仿宋"/>
            <w:sz w:val="24"/>
          </w:rPr>
          <w:tab/>
        </w:r>
        <w:r>
          <w:rPr>
            <w:rFonts w:eastAsia="仿宋"/>
            <w:sz w:val="24"/>
          </w:rPr>
          <w:fldChar w:fldCharType="begin"/>
        </w:r>
        <w:r>
          <w:rPr>
            <w:rFonts w:eastAsia="仿宋"/>
            <w:sz w:val="24"/>
          </w:rPr>
          <w:instrText xml:space="preserve"> PAGEREF _Toc14076 \h </w:instrText>
        </w:r>
        <w:r>
          <w:rPr>
            <w:rFonts w:eastAsia="仿宋"/>
            <w:sz w:val="24"/>
          </w:rPr>
          <w:fldChar w:fldCharType="separate"/>
        </w:r>
        <w:r>
          <w:rPr>
            <w:rFonts w:eastAsia="仿宋"/>
            <w:sz w:val="24"/>
          </w:rPr>
          <w:t>17</w:t>
        </w:r>
        <w:r>
          <w:rPr>
            <w:rFonts w:eastAsia="仿宋"/>
            <w:sz w:val="24"/>
          </w:rPr>
          <w:fldChar w:fldCharType="end"/>
        </w:r>
      </w:hyperlink>
    </w:p>
    <w:p w:rsidR="00000000" w:rsidRDefault="00000000">
      <w:pPr>
        <w:pStyle w:val="TOC3"/>
        <w:tabs>
          <w:tab w:val="right" w:leader="dot" w:pos="8845"/>
        </w:tabs>
        <w:rPr>
          <w:rFonts w:eastAsia="仿宋"/>
          <w:sz w:val="24"/>
        </w:rPr>
      </w:pPr>
      <w:hyperlink w:anchor="_Toc18949" w:history="1">
        <w:r>
          <w:rPr>
            <w:rFonts w:eastAsia="仿宋"/>
            <w:sz w:val="24"/>
          </w:rPr>
          <w:t xml:space="preserve">3.2.1 </w:t>
        </w:r>
        <w:r>
          <w:rPr>
            <w:rFonts w:eastAsia="仿宋"/>
            <w:sz w:val="24"/>
          </w:rPr>
          <w:t>热点国家的专利技术控制力</w:t>
        </w:r>
        <w:r>
          <w:rPr>
            <w:rFonts w:eastAsia="仿宋"/>
            <w:sz w:val="24"/>
          </w:rPr>
          <w:tab/>
        </w:r>
        <w:r>
          <w:rPr>
            <w:rFonts w:eastAsia="仿宋"/>
            <w:sz w:val="24"/>
          </w:rPr>
          <w:fldChar w:fldCharType="begin"/>
        </w:r>
        <w:r>
          <w:rPr>
            <w:rFonts w:eastAsia="仿宋"/>
            <w:sz w:val="24"/>
          </w:rPr>
          <w:instrText xml:space="preserve"> PAGEREF _Toc18949 \h </w:instrText>
        </w:r>
        <w:r>
          <w:rPr>
            <w:rFonts w:eastAsia="仿宋"/>
            <w:sz w:val="24"/>
          </w:rPr>
          <w:fldChar w:fldCharType="separate"/>
        </w:r>
        <w:r>
          <w:rPr>
            <w:rFonts w:eastAsia="仿宋"/>
            <w:sz w:val="24"/>
          </w:rPr>
          <w:t>17</w:t>
        </w:r>
        <w:r>
          <w:rPr>
            <w:rFonts w:eastAsia="仿宋"/>
            <w:sz w:val="24"/>
          </w:rPr>
          <w:fldChar w:fldCharType="end"/>
        </w:r>
      </w:hyperlink>
    </w:p>
    <w:p w:rsidR="00000000" w:rsidRDefault="00000000">
      <w:pPr>
        <w:pStyle w:val="TOC3"/>
        <w:tabs>
          <w:tab w:val="right" w:leader="dot" w:pos="8845"/>
        </w:tabs>
        <w:rPr>
          <w:rFonts w:eastAsia="仿宋"/>
          <w:sz w:val="24"/>
        </w:rPr>
      </w:pPr>
      <w:hyperlink w:anchor="_Toc5417" w:history="1">
        <w:r>
          <w:rPr>
            <w:rFonts w:eastAsia="仿宋"/>
            <w:sz w:val="24"/>
          </w:rPr>
          <w:t xml:space="preserve">3.2.2 </w:t>
        </w:r>
        <w:r>
          <w:rPr>
            <w:rFonts w:eastAsia="仿宋"/>
            <w:sz w:val="24"/>
          </w:rPr>
          <w:t>龙头企业的产品控制力</w:t>
        </w:r>
        <w:r>
          <w:rPr>
            <w:rFonts w:eastAsia="仿宋"/>
            <w:sz w:val="24"/>
          </w:rPr>
          <w:tab/>
        </w:r>
        <w:r>
          <w:rPr>
            <w:rFonts w:eastAsia="仿宋"/>
            <w:sz w:val="24"/>
          </w:rPr>
          <w:fldChar w:fldCharType="begin"/>
        </w:r>
        <w:r>
          <w:rPr>
            <w:rFonts w:eastAsia="仿宋"/>
            <w:sz w:val="24"/>
          </w:rPr>
          <w:instrText xml:space="preserve"> PAGEREF _Toc5417 \h </w:instrText>
        </w:r>
        <w:r>
          <w:rPr>
            <w:rFonts w:eastAsia="仿宋"/>
            <w:sz w:val="24"/>
          </w:rPr>
          <w:fldChar w:fldCharType="separate"/>
        </w:r>
        <w:r>
          <w:rPr>
            <w:rFonts w:eastAsia="仿宋"/>
            <w:sz w:val="24"/>
          </w:rPr>
          <w:t>19</w:t>
        </w:r>
        <w:r>
          <w:rPr>
            <w:rFonts w:eastAsia="仿宋"/>
            <w:sz w:val="24"/>
          </w:rPr>
          <w:fldChar w:fldCharType="end"/>
        </w:r>
      </w:hyperlink>
    </w:p>
    <w:p w:rsidR="00000000" w:rsidRDefault="00000000">
      <w:pPr>
        <w:pStyle w:val="TOC3"/>
        <w:tabs>
          <w:tab w:val="right" w:leader="dot" w:pos="8845"/>
        </w:tabs>
        <w:rPr>
          <w:rFonts w:eastAsia="仿宋"/>
          <w:sz w:val="24"/>
        </w:rPr>
      </w:pPr>
      <w:hyperlink w:anchor="_Toc3253" w:history="1">
        <w:r>
          <w:rPr>
            <w:rFonts w:eastAsia="仿宋"/>
            <w:sz w:val="24"/>
          </w:rPr>
          <w:t>3.2.3</w:t>
        </w:r>
        <w:r>
          <w:rPr>
            <w:rFonts w:eastAsia="仿宋"/>
            <w:sz w:val="24"/>
          </w:rPr>
          <w:t>中国专利申请人情况与国内产业龙头企业</w:t>
        </w:r>
        <w:r>
          <w:rPr>
            <w:rFonts w:eastAsia="仿宋"/>
            <w:sz w:val="24"/>
          </w:rPr>
          <w:tab/>
        </w:r>
        <w:r>
          <w:rPr>
            <w:rFonts w:eastAsia="仿宋"/>
            <w:sz w:val="24"/>
          </w:rPr>
          <w:fldChar w:fldCharType="begin"/>
        </w:r>
        <w:r>
          <w:rPr>
            <w:rFonts w:eastAsia="仿宋"/>
            <w:sz w:val="24"/>
          </w:rPr>
          <w:instrText xml:space="preserve"> PAGEREF _Toc3253 \h </w:instrText>
        </w:r>
        <w:r>
          <w:rPr>
            <w:rFonts w:eastAsia="仿宋"/>
            <w:sz w:val="24"/>
          </w:rPr>
          <w:fldChar w:fldCharType="separate"/>
        </w:r>
        <w:r>
          <w:rPr>
            <w:rFonts w:eastAsia="仿宋"/>
            <w:sz w:val="24"/>
          </w:rPr>
          <w:t>19</w:t>
        </w:r>
        <w:r>
          <w:rPr>
            <w:rFonts w:eastAsia="仿宋"/>
            <w:sz w:val="24"/>
          </w:rPr>
          <w:fldChar w:fldCharType="end"/>
        </w:r>
      </w:hyperlink>
    </w:p>
    <w:p w:rsidR="00000000" w:rsidRDefault="00000000">
      <w:pPr>
        <w:pStyle w:val="TOC3"/>
        <w:tabs>
          <w:tab w:val="right" w:leader="dot" w:pos="8845"/>
        </w:tabs>
        <w:rPr>
          <w:rFonts w:eastAsia="仿宋"/>
          <w:sz w:val="24"/>
        </w:rPr>
      </w:pPr>
      <w:hyperlink w:anchor="_Toc10779" w:history="1">
        <w:r>
          <w:rPr>
            <w:rFonts w:eastAsia="仿宋"/>
            <w:sz w:val="24"/>
          </w:rPr>
          <w:t xml:space="preserve">3.2.4 </w:t>
        </w:r>
        <w:r>
          <w:rPr>
            <w:rFonts w:eastAsia="仿宋"/>
            <w:sz w:val="24"/>
          </w:rPr>
          <w:t>中国专利申请分类号技术分布</w:t>
        </w:r>
        <w:r>
          <w:rPr>
            <w:rFonts w:eastAsia="仿宋"/>
            <w:sz w:val="24"/>
          </w:rPr>
          <w:tab/>
        </w:r>
        <w:r>
          <w:rPr>
            <w:rFonts w:eastAsia="仿宋"/>
            <w:sz w:val="24"/>
          </w:rPr>
          <w:fldChar w:fldCharType="begin"/>
        </w:r>
        <w:r>
          <w:rPr>
            <w:rFonts w:eastAsia="仿宋"/>
            <w:sz w:val="24"/>
          </w:rPr>
          <w:instrText xml:space="preserve"> PAGEREF _Toc10779 \h </w:instrText>
        </w:r>
        <w:r>
          <w:rPr>
            <w:rFonts w:eastAsia="仿宋"/>
            <w:sz w:val="24"/>
          </w:rPr>
          <w:fldChar w:fldCharType="separate"/>
        </w:r>
        <w:r>
          <w:rPr>
            <w:rFonts w:eastAsia="仿宋"/>
            <w:sz w:val="24"/>
          </w:rPr>
          <w:t>21</w:t>
        </w:r>
        <w:r>
          <w:rPr>
            <w:rFonts w:eastAsia="仿宋"/>
            <w:sz w:val="24"/>
          </w:rPr>
          <w:fldChar w:fldCharType="end"/>
        </w:r>
      </w:hyperlink>
    </w:p>
    <w:p w:rsidR="00000000" w:rsidRDefault="00000000">
      <w:pPr>
        <w:pStyle w:val="TOC2"/>
        <w:tabs>
          <w:tab w:val="right" w:leader="dot" w:pos="8845"/>
        </w:tabs>
        <w:rPr>
          <w:rFonts w:eastAsia="仿宋"/>
          <w:sz w:val="24"/>
        </w:rPr>
      </w:pPr>
      <w:hyperlink w:anchor="_Toc22777" w:history="1">
        <w:r>
          <w:rPr>
            <w:rFonts w:eastAsia="仿宋"/>
            <w:sz w:val="24"/>
          </w:rPr>
          <w:t xml:space="preserve">3.3 </w:t>
        </w:r>
        <w:r>
          <w:rPr>
            <w:rFonts w:eastAsia="仿宋"/>
            <w:sz w:val="24"/>
          </w:rPr>
          <w:t>专利控制力揭示产业发展方向</w:t>
        </w:r>
        <w:r>
          <w:rPr>
            <w:rFonts w:eastAsia="仿宋"/>
            <w:sz w:val="24"/>
          </w:rPr>
          <w:tab/>
        </w:r>
        <w:r>
          <w:rPr>
            <w:rFonts w:eastAsia="仿宋"/>
            <w:sz w:val="24"/>
          </w:rPr>
          <w:fldChar w:fldCharType="begin"/>
        </w:r>
        <w:r>
          <w:rPr>
            <w:rFonts w:eastAsia="仿宋"/>
            <w:sz w:val="24"/>
          </w:rPr>
          <w:instrText xml:space="preserve"> PAGEREF _Toc22777 \h </w:instrText>
        </w:r>
        <w:r>
          <w:rPr>
            <w:rFonts w:eastAsia="仿宋"/>
            <w:sz w:val="24"/>
          </w:rPr>
          <w:fldChar w:fldCharType="separate"/>
        </w:r>
        <w:r>
          <w:rPr>
            <w:rFonts w:eastAsia="仿宋"/>
            <w:sz w:val="24"/>
          </w:rPr>
          <w:t>22</w:t>
        </w:r>
        <w:r>
          <w:rPr>
            <w:rFonts w:eastAsia="仿宋"/>
            <w:sz w:val="24"/>
          </w:rPr>
          <w:fldChar w:fldCharType="end"/>
        </w:r>
      </w:hyperlink>
    </w:p>
    <w:p w:rsidR="00000000" w:rsidRDefault="00000000">
      <w:pPr>
        <w:pStyle w:val="TOC3"/>
        <w:tabs>
          <w:tab w:val="right" w:leader="dot" w:pos="8845"/>
        </w:tabs>
        <w:rPr>
          <w:rFonts w:eastAsia="仿宋"/>
          <w:sz w:val="24"/>
        </w:rPr>
      </w:pPr>
      <w:hyperlink w:anchor="_Toc15776" w:history="1">
        <w:r>
          <w:rPr>
            <w:rFonts w:eastAsia="仿宋"/>
            <w:sz w:val="24"/>
          </w:rPr>
          <w:t>3.3.1 OLED</w:t>
        </w:r>
        <w:r>
          <w:rPr>
            <w:rFonts w:eastAsia="仿宋"/>
            <w:sz w:val="24"/>
          </w:rPr>
          <w:t>发光材料产业专利申请趋势热点方向</w:t>
        </w:r>
        <w:r>
          <w:rPr>
            <w:rFonts w:eastAsia="仿宋"/>
            <w:sz w:val="24"/>
          </w:rPr>
          <w:tab/>
        </w:r>
        <w:r>
          <w:rPr>
            <w:rFonts w:eastAsia="仿宋"/>
            <w:sz w:val="24"/>
          </w:rPr>
          <w:fldChar w:fldCharType="begin"/>
        </w:r>
        <w:r>
          <w:rPr>
            <w:rFonts w:eastAsia="仿宋"/>
            <w:sz w:val="24"/>
          </w:rPr>
          <w:instrText xml:space="preserve"> PAGEREF _Toc15776 \h </w:instrText>
        </w:r>
        <w:r>
          <w:rPr>
            <w:rFonts w:eastAsia="仿宋"/>
            <w:sz w:val="24"/>
          </w:rPr>
          <w:fldChar w:fldCharType="separate"/>
        </w:r>
        <w:r>
          <w:rPr>
            <w:rFonts w:eastAsia="仿宋"/>
            <w:sz w:val="24"/>
          </w:rPr>
          <w:t>22</w:t>
        </w:r>
        <w:r>
          <w:rPr>
            <w:rFonts w:eastAsia="仿宋"/>
            <w:sz w:val="24"/>
          </w:rPr>
          <w:fldChar w:fldCharType="end"/>
        </w:r>
      </w:hyperlink>
    </w:p>
    <w:p w:rsidR="00000000" w:rsidRDefault="00000000">
      <w:pPr>
        <w:pStyle w:val="TOC3"/>
        <w:tabs>
          <w:tab w:val="right" w:leader="dot" w:pos="8845"/>
        </w:tabs>
        <w:rPr>
          <w:rFonts w:eastAsia="仿宋"/>
          <w:sz w:val="24"/>
        </w:rPr>
      </w:pPr>
      <w:hyperlink w:anchor="_Toc26769" w:history="1">
        <w:r>
          <w:rPr>
            <w:rFonts w:eastAsia="仿宋"/>
            <w:sz w:val="24"/>
          </w:rPr>
          <w:t xml:space="preserve">3.3.2 </w:t>
        </w:r>
        <w:r>
          <w:rPr>
            <w:rFonts w:eastAsia="仿宋"/>
            <w:sz w:val="24"/>
          </w:rPr>
          <w:t>产业增长热点方向</w:t>
        </w:r>
        <w:r>
          <w:rPr>
            <w:rFonts w:eastAsia="仿宋"/>
            <w:sz w:val="24"/>
          </w:rPr>
          <w:tab/>
        </w:r>
        <w:r>
          <w:rPr>
            <w:rFonts w:eastAsia="仿宋"/>
            <w:sz w:val="24"/>
          </w:rPr>
          <w:fldChar w:fldCharType="begin"/>
        </w:r>
        <w:r>
          <w:rPr>
            <w:rFonts w:eastAsia="仿宋"/>
            <w:sz w:val="24"/>
          </w:rPr>
          <w:instrText xml:space="preserve"> PAGEREF _Toc26769 \h </w:instrText>
        </w:r>
        <w:r>
          <w:rPr>
            <w:rFonts w:eastAsia="仿宋"/>
            <w:sz w:val="24"/>
          </w:rPr>
          <w:fldChar w:fldCharType="separate"/>
        </w:r>
        <w:r>
          <w:rPr>
            <w:rFonts w:eastAsia="仿宋"/>
            <w:sz w:val="24"/>
          </w:rPr>
          <w:t>23</w:t>
        </w:r>
        <w:r>
          <w:rPr>
            <w:rFonts w:eastAsia="仿宋"/>
            <w:sz w:val="24"/>
          </w:rPr>
          <w:fldChar w:fldCharType="end"/>
        </w:r>
      </w:hyperlink>
    </w:p>
    <w:p w:rsidR="00000000" w:rsidRDefault="00000000">
      <w:pPr>
        <w:pStyle w:val="TOC3"/>
        <w:tabs>
          <w:tab w:val="right" w:leader="dot" w:pos="8845"/>
        </w:tabs>
        <w:rPr>
          <w:rFonts w:eastAsia="仿宋"/>
          <w:sz w:val="24"/>
        </w:rPr>
      </w:pPr>
      <w:hyperlink w:anchor="_Toc5887" w:history="1">
        <w:r>
          <w:rPr>
            <w:rFonts w:eastAsia="仿宋"/>
            <w:sz w:val="24"/>
          </w:rPr>
          <w:t xml:space="preserve">3.3.3 </w:t>
        </w:r>
        <w:r>
          <w:rPr>
            <w:rFonts w:eastAsia="仿宋"/>
            <w:sz w:val="24"/>
          </w:rPr>
          <w:t>行业龙头企业研发热点方向</w:t>
        </w:r>
        <w:r>
          <w:rPr>
            <w:rFonts w:eastAsia="仿宋"/>
            <w:sz w:val="24"/>
          </w:rPr>
          <w:tab/>
        </w:r>
        <w:r>
          <w:rPr>
            <w:rFonts w:eastAsia="仿宋"/>
            <w:sz w:val="24"/>
          </w:rPr>
          <w:fldChar w:fldCharType="begin"/>
        </w:r>
        <w:r>
          <w:rPr>
            <w:rFonts w:eastAsia="仿宋"/>
            <w:sz w:val="24"/>
          </w:rPr>
          <w:instrText xml:space="preserve"> PAGEREF _Toc5887 \h </w:instrText>
        </w:r>
        <w:r>
          <w:rPr>
            <w:rFonts w:eastAsia="仿宋"/>
            <w:sz w:val="24"/>
          </w:rPr>
          <w:fldChar w:fldCharType="separate"/>
        </w:r>
        <w:r>
          <w:rPr>
            <w:rFonts w:eastAsia="仿宋"/>
            <w:sz w:val="24"/>
          </w:rPr>
          <w:t>24</w:t>
        </w:r>
        <w:r>
          <w:rPr>
            <w:rFonts w:eastAsia="仿宋"/>
            <w:sz w:val="24"/>
          </w:rPr>
          <w:fldChar w:fldCharType="end"/>
        </w:r>
      </w:hyperlink>
    </w:p>
    <w:p w:rsidR="00000000" w:rsidRDefault="00000000">
      <w:pPr>
        <w:pStyle w:val="TOC3"/>
        <w:tabs>
          <w:tab w:val="right" w:leader="dot" w:pos="8845"/>
        </w:tabs>
        <w:rPr>
          <w:rFonts w:eastAsia="仿宋"/>
          <w:sz w:val="24"/>
        </w:rPr>
      </w:pPr>
      <w:hyperlink w:anchor="_Toc4136" w:history="1">
        <w:r>
          <w:rPr>
            <w:rFonts w:eastAsia="仿宋"/>
            <w:sz w:val="24"/>
          </w:rPr>
          <w:t xml:space="preserve">3.3.4 </w:t>
        </w:r>
        <w:r>
          <w:rPr>
            <w:rFonts w:eastAsia="仿宋"/>
            <w:sz w:val="24"/>
          </w:rPr>
          <w:t>核心专利技术分布与布局导向</w:t>
        </w:r>
        <w:r>
          <w:rPr>
            <w:rFonts w:eastAsia="仿宋"/>
            <w:sz w:val="24"/>
          </w:rPr>
          <w:tab/>
        </w:r>
        <w:r>
          <w:rPr>
            <w:rFonts w:eastAsia="仿宋"/>
            <w:sz w:val="24"/>
          </w:rPr>
          <w:fldChar w:fldCharType="begin"/>
        </w:r>
        <w:r>
          <w:rPr>
            <w:rFonts w:eastAsia="仿宋"/>
            <w:sz w:val="24"/>
          </w:rPr>
          <w:instrText xml:space="preserve"> PAGEREF _Toc4136 \h </w:instrText>
        </w:r>
        <w:r>
          <w:rPr>
            <w:rFonts w:eastAsia="仿宋"/>
            <w:sz w:val="24"/>
          </w:rPr>
          <w:fldChar w:fldCharType="separate"/>
        </w:r>
        <w:r>
          <w:rPr>
            <w:rFonts w:eastAsia="仿宋"/>
            <w:sz w:val="24"/>
          </w:rPr>
          <w:t>24</w:t>
        </w:r>
        <w:r>
          <w:rPr>
            <w:rFonts w:eastAsia="仿宋"/>
            <w:sz w:val="24"/>
          </w:rPr>
          <w:fldChar w:fldCharType="end"/>
        </w:r>
      </w:hyperlink>
    </w:p>
    <w:p w:rsidR="00000000" w:rsidRDefault="00000000">
      <w:pPr>
        <w:pStyle w:val="TOC3"/>
        <w:tabs>
          <w:tab w:val="right" w:leader="dot" w:pos="8845"/>
        </w:tabs>
        <w:rPr>
          <w:rFonts w:eastAsia="仿宋"/>
          <w:sz w:val="24"/>
        </w:rPr>
      </w:pPr>
      <w:hyperlink w:anchor="_Toc8384" w:history="1">
        <w:r>
          <w:rPr>
            <w:rFonts w:eastAsia="仿宋"/>
            <w:sz w:val="24"/>
          </w:rPr>
          <w:t xml:space="preserve">3.3.5 </w:t>
        </w:r>
        <w:r>
          <w:rPr>
            <w:rFonts w:eastAsia="仿宋"/>
            <w:sz w:val="24"/>
          </w:rPr>
          <w:t>从企业协同创新方向看产业技术发展新动向</w:t>
        </w:r>
        <w:r>
          <w:rPr>
            <w:rFonts w:eastAsia="仿宋"/>
            <w:sz w:val="24"/>
          </w:rPr>
          <w:tab/>
        </w:r>
        <w:r>
          <w:rPr>
            <w:rFonts w:eastAsia="仿宋"/>
            <w:sz w:val="24"/>
          </w:rPr>
          <w:fldChar w:fldCharType="begin"/>
        </w:r>
        <w:r>
          <w:rPr>
            <w:rFonts w:eastAsia="仿宋"/>
            <w:sz w:val="24"/>
          </w:rPr>
          <w:instrText xml:space="preserve"> PAGEREF _Toc8384 \h </w:instrText>
        </w:r>
        <w:r>
          <w:rPr>
            <w:rFonts w:eastAsia="仿宋"/>
            <w:sz w:val="24"/>
          </w:rPr>
          <w:fldChar w:fldCharType="separate"/>
        </w:r>
        <w:r>
          <w:rPr>
            <w:rFonts w:eastAsia="仿宋"/>
            <w:sz w:val="24"/>
          </w:rPr>
          <w:t>25</w:t>
        </w:r>
        <w:r>
          <w:rPr>
            <w:rFonts w:eastAsia="仿宋"/>
            <w:sz w:val="24"/>
          </w:rPr>
          <w:fldChar w:fldCharType="end"/>
        </w:r>
      </w:hyperlink>
    </w:p>
    <w:p w:rsidR="00000000" w:rsidRDefault="00000000">
      <w:pPr>
        <w:pStyle w:val="TOC3"/>
        <w:tabs>
          <w:tab w:val="right" w:leader="dot" w:pos="8845"/>
        </w:tabs>
        <w:rPr>
          <w:rFonts w:eastAsia="仿宋"/>
          <w:sz w:val="24"/>
        </w:rPr>
      </w:pPr>
      <w:hyperlink w:anchor="_Toc7785" w:history="1">
        <w:r>
          <w:rPr>
            <w:rFonts w:eastAsia="仿宋"/>
            <w:sz w:val="24"/>
          </w:rPr>
          <w:t xml:space="preserve">3.3.6 </w:t>
        </w:r>
        <w:r>
          <w:rPr>
            <w:rFonts w:eastAsia="仿宋"/>
            <w:sz w:val="24"/>
          </w:rPr>
          <w:t>从专利运用和保护看技术热点方向</w:t>
        </w:r>
        <w:r>
          <w:rPr>
            <w:rFonts w:eastAsia="仿宋"/>
            <w:sz w:val="24"/>
          </w:rPr>
          <w:tab/>
        </w:r>
        <w:r>
          <w:rPr>
            <w:rFonts w:eastAsia="仿宋"/>
            <w:sz w:val="24"/>
          </w:rPr>
          <w:fldChar w:fldCharType="begin"/>
        </w:r>
        <w:r>
          <w:rPr>
            <w:rFonts w:eastAsia="仿宋"/>
            <w:sz w:val="24"/>
          </w:rPr>
          <w:instrText xml:space="preserve"> PAGEREF _Toc7785 \h </w:instrText>
        </w:r>
        <w:r>
          <w:rPr>
            <w:rFonts w:eastAsia="仿宋"/>
            <w:sz w:val="24"/>
          </w:rPr>
          <w:fldChar w:fldCharType="separate"/>
        </w:r>
        <w:r>
          <w:rPr>
            <w:rFonts w:eastAsia="仿宋"/>
            <w:sz w:val="24"/>
          </w:rPr>
          <w:t>26</w:t>
        </w:r>
        <w:r>
          <w:rPr>
            <w:rFonts w:eastAsia="仿宋"/>
            <w:sz w:val="24"/>
          </w:rPr>
          <w:fldChar w:fldCharType="end"/>
        </w:r>
      </w:hyperlink>
    </w:p>
    <w:p w:rsidR="00000000" w:rsidRDefault="00000000">
      <w:pPr>
        <w:pStyle w:val="TOC3"/>
        <w:tabs>
          <w:tab w:val="right" w:leader="dot" w:pos="8845"/>
        </w:tabs>
        <w:rPr>
          <w:rFonts w:eastAsia="仿宋"/>
          <w:sz w:val="24"/>
        </w:rPr>
      </w:pPr>
      <w:hyperlink w:anchor="_Toc27661" w:history="1">
        <w:r>
          <w:rPr>
            <w:rFonts w:eastAsia="仿宋"/>
            <w:sz w:val="24"/>
          </w:rPr>
          <w:t>3.3.7 OLED</w:t>
        </w:r>
        <w:r>
          <w:rPr>
            <w:rFonts w:eastAsia="仿宋"/>
            <w:sz w:val="24"/>
          </w:rPr>
          <w:t>发光材料产业发展方向基本结论</w:t>
        </w:r>
        <w:r>
          <w:rPr>
            <w:rFonts w:eastAsia="仿宋"/>
            <w:sz w:val="24"/>
          </w:rPr>
          <w:tab/>
        </w:r>
        <w:r>
          <w:rPr>
            <w:rFonts w:eastAsia="仿宋"/>
            <w:sz w:val="24"/>
          </w:rPr>
          <w:fldChar w:fldCharType="begin"/>
        </w:r>
        <w:r>
          <w:rPr>
            <w:rFonts w:eastAsia="仿宋"/>
            <w:sz w:val="24"/>
          </w:rPr>
          <w:instrText xml:space="preserve"> PAGEREF _Toc27661 \h </w:instrText>
        </w:r>
        <w:r>
          <w:rPr>
            <w:rFonts w:eastAsia="仿宋"/>
            <w:sz w:val="24"/>
          </w:rPr>
          <w:fldChar w:fldCharType="separate"/>
        </w:r>
        <w:r>
          <w:rPr>
            <w:rFonts w:eastAsia="仿宋"/>
            <w:sz w:val="24"/>
          </w:rPr>
          <w:t>27</w:t>
        </w:r>
        <w:r>
          <w:rPr>
            <w:rFonts w:eastAsia="仿宋"/>
            <w:sz w:val="24"/>
          </w:rPr>
          <w:fldChar w:fldCharType="end"/>
        </w:r>
      </w:hyperlink>
    </w:p>
    <w:p w:rsidR="00000000" w:rsidRDefault="00000000">
      <w:pPr>
        <w:pStyle w:val="TOC1"/>
        <w:tabs>
          <w:tab w:val="right" w:leader="dot" w:pos="8845"/>
        </w:tabs>
        <w:rPr>
          <w:rFonts w:eastAsia="仿宋"/>
          <w:sz w:val="24"/>
        </w:rPr>
      </w:pPr>
      <w:hyperlink w:anchor="_Toc28791" w:history="1">
        <w:r>
          <w:rPr>
            <w:rFonts w:eastAsia="仿宋"/>
            <w:sz w:val="24"/>
          </w:rPr>
          <w:t>第四章</w:t>
        </w:r>
        <w:r>
          <w:rPr>
            <w:rFonts w:eastAsia="仿宋"/>
            <w:sz w:val="24"/>
          </w:rPr>
          <w:t xml:space="preserve"> </w:t>
        </w:r>
        <w:r>
          <w:rPr>
            <w:rFonts w:eastAsia="仿宋"/>
            <w:sz w:val="24"/>
          </w:rPr>
          <w:t>吉林省</w:t>
        </w:r>
        <w:r>
          <w:rPr>
            <w:rFonts w:eastAsia="仿宋"/>
            <w:sz w:val="24"/>
          </w:rPr>
          <w:t>OLED</w:t>
        </w:r>
        <w:r>
          <w:rPr>
            <w:rFonts w:eastAsia="仿宋"/>
            <w:sz w:val="24"/>
          </w:rPr>
          <w:t>发光材料产业发展定位分析</w:t>
        </w:r>
        <w:r>
          <w:rPr>
            <w:rFonts w:eastAsia="仿宋"/>
            <w:sz w:val="24"/>
          </w:rPr>
          <w:tab/>
        </w:r>
        <w:r>
          <w:rPr>
            <w:rFonts w:eastAsia="仿宋"/>
            <w:sz w:val="24"/>
          </w:rPr>
          <w:fldChar w:fldCharType="begin"/>
        </w:r>
        <w:r>
          <w:rPr>
            <w:rFonts w:eastAsia="仿宋"/>
            <w:sz w:val="24"/>
          </w:rPr>
          <w:instrText xml:space="preserve"> PAGEREF _Toc28791 \h </w:instrText>
        </w:r>
        <w:r>
          <w:rPr>
            <w:rFonts w:eastAsia="仿宋"/>
            <w:sz w:val="24"/>
          </w:rPr>
          <w:fldChar w:fldCharType="separate"/>
        </w:r>
        <w:r>
          <w:rPr>
            <w:rFonts w:eastAsia="仿宋"/>
            <w:sz w:val="24"/>
          </w:rPr>
          <w:t>29</w:t>
        </w:r>
        <w:r>
          <w:rPr>
            <w:rFonts w:eastAsia="仿宋"/>
            <w:sz w:val="24"/>
          </w:rPr>
          <w:fldChar w:fldCharType="end"/>
        </w:r>
      </w:hyperlink>
    </w:p>
    <w:p w:rsidR="00000000" w:rsidRDefault="00000000">
      <w:pPr>
        <w:pStyle w:val="TOC2"/>
        <w:tabs>
          <w:tab w:val="right" w:leader="dot" w:pos="8845"/>
        </w:tabs>
        <w:rPr>
          <w:rFonts w:eastAsia="仿宋"/>
          <w:sz w:val="24"/>
        </w:rPr>
      </w:pPr>
      <w:hyperlink w:anchor="_Toc6058" w:history="1">
        <w:r>
          <w:rPr>
            <w:rFonts w:eastAsia="仿宋"/>
            <w:sz w:val="24"/>
          </w:rPr>
          <w:t>4.1</w:t>
        </w:r>
        <w:r>
          <w:rPr>
            <w:rFonts w:eastAsia="仿宋"/>
            <w:sz w:val="24"/>
          </w:rPr>
          <w:t>吉林省</w:t>
        </w:r>
        <w:r>
          <w:rPr>
            <w:rFonts w:eastAsia="仿宋"/>
            <w:sz w:val="24"/>
          </w:rPr>
          <w:t>OLED</w:t>
        </w:r>
        <w:r>
          <w:rPr>
            <w:rFonts w:eastAsia="仿宋"/>
            <w:sz w:val="24"/>
          </w:rPr>
          <w:t>发光材料产业结构分析</w:t>
        </w:r>
        <w:r>
          <w:rPr>
            <w:rFonts w:eastAsia="仿宋"/>
            <w:sz w:val="24"/>
          </w:rPr>
          <w:tab/>
        </w:r>
        <w:r>
          <w:rPr>
            <w:rFonts w:eastAsia="仿宋"/>
            <w:sz w:val="24"/>
          </w:rPr>
          <w:fldChar w:fldCharType="begin"/>
        </w:r>
        <w:r>
          <w:rPr>
            <w:rFonts w:eastAsia="仿宋"/>
            <w:sz w:val="24"/>
          </w:rPr>
          <w:instrText xml:space="preserve"> PAGEREF _Toc6058 \h </w:instrText>
        </w:r>
        <w:r>
          <w:rPr>
            <w:rFonts w:eastAsia="仿宋"/>
            <w:sz w:val="24"/>
          </w:rPr>
          <w:fldChar w:fldCharType="separate"/>
        </w:r>
        <w:r>
          <w:rPr>
            <w:rFonts w:eastAsia="仿宋"/>
            <w:sz w:val="24"/>
          </w:rPr>
          <w:t>29</w:t>
        </w:r>
        <w:r>
          <w:rPr>
            <w:rFonts w:eastAsia="仿宋"/>
            <w:sz w:val="24"/>
          </w:rPr>
          <w:fldChar w:fldCharType="end"/>
        </w:r>
      </w:hyperlink>
    </w:p>
    <w:p w:rsidR="00000000" w:rsidRDefault="00000000">
      <w:pPr>
        <w:pStyle w:val="TOC3"/>
        <w:tabs>
          <w:tab w:val="right" w:leader="dot" w:pos="8845"/>
        </w:tabs>
        <w:rPr>
          <w:rFonts w:eastAsia="仿宋"/>
          <w:sz w:val="24"/>
        </w:rPr>
      </w:pPr>
      <w:hyperlink w:anchor="_Toc20329" w:history="1">
        <w:r>
          <w:rPr>
            <w:rFonts w:eastAsia="仿宋"/>
            <w:sz w:val="24"/>
          </w:rPr>
          <w:t>4.1.1</w:t>
        </w:r>
        <w:r>
          <w:rPr>
            <w:rFonts w:eastAsia="仿宋"/>
            <w:sz w:val="24"/>
          </w:rPr>
          <w:t>吉林省</w:t>
        </w:r>
        <w:r>
          <w:rPr>
            <w:rFonts w:eastAsia="仿宋"/>
            <w:sz w:val="24"/>
          </w:rPr>
          <w:t>OLED</w:t>
        </w:r>
        <w:r>
          <w:rPr>
            <w:rFonts w:eastAsia="仿宋"/>
            <w:sz w:val="24"/>
          </w:rPr>
          <w:t>发光材料产业专利整体概况</w:t>
        </w:r>
        <w:r>
          <w:rPr>
            <w:rFonts w:eastAsia="仿宋"/>
            <w:sz w:val="24"/>
          </w:rPr>
          <w:tab/>
        </w:r>
        <w:r>
          <w:rPr>
            <w:rFonts w:eastAsia="仿宋"/>
            <w:sz w:val="24"/>
          </w:rPr>
          <w:fldChar w:fldCharType="begin"/>
        </w:r>
        <w:r>
          <w:rPr>
            <w:rFonts w:eastAsia="仿宋"/>
            <w:sz w:val="24"/>
          </w:rPr>
          <w:instrText xml:space="preserve"> PAGEREF _Toc20329 \h </w:instrText>
        </w:r>
        <w:r>
          <w:rPr>
            <w:rFonts w:eastAsia="仿宋"/>
            <w:sz w:val="24"/>
          </w:rPr>
          <w:fldChar w:fldCharType="separate"/>
        </w:r>
        <w:r>
          <w:rPr>
            <w:rFonts w:eastAsia="仿宋"/>
            <w:sz w:val="24"/>
          </w:rPr>
          <w:t>29</w:t>
        </w:r>
        <w:r>
          <w:rPr>
            <w:rFonts w:eastAsia="仿宋"/>
            <w:sz w:val="24"/>
          </w:rPr>
          <w:fldChar w:fldCharType="end"/>
        </w:r>
      </w:hyperlink>
    </w:p>
    <w:p w:rsidR="00000000" w:rsidRDefault="00000000">
      <w:pPr>
        <w:pStyle w:val="TOC3"/>
        <w:tabs>
          <w:tab w:val="right" w:leader="dot" w:pos="8845"/>
        </w:tabs>
        <w:rPr>
          <w:rFonts w:eastAsia="仿宋"/>
          <w:sz w:val="24"/>
        </w:rPr>
      </w:pPr>
      <w:hyperlink w:anchor="_Toc21" w:history="1">
        <w:r>
          <w:rPr>
            <w:rFonts w:eastAsia="仿宋"/>
            <w:sz w:val="24"/>
          </w:rPr>
          <w:t>4.1.2</w:t>
        </w:r>
        <w:r>
          <w:rPr>
            <w:rFonts w:eastAsia="仿宋"/>
            <w:sz w:val="24"/>
          </w:rPr>
          <w:t>吉林省专利布局情况与全球、全国专利布局对比</w:t>
        </w:r>
        <w:r>
          <w:rPr>
            <w:rFonts w:eastAsia="仿宋"/>
            <w:sz w:val="24"/>
          </w:rPr>
          <w:tab/>
        </w:r>
        <w:r>
          <w:rPr>
            <w:rFonts w:eastAsia="仿宋"/>
            <w:sz w:val="24"/>
          </w:rPr>
          <w:fldChar w:fldCharType="begin"/>
        </w:r>
        <w:r>
          <w:rPr>
            <w:rFonts w:eastAsia="仿宋"/>
            <w:sz w:val="24"/>
          </w:rPr>
          <w:instrText xml:space="preserve"> PAGEREF _Toc21 \h </w:instrText>
        </w:r>
        <w:r>
          <w:rPr>
            <w:rFonts w:eastAsia="仿宋"/>
            <w:sz w:val="24"/>
          </w:rPr>
          <w:fldChar w:fldCharType="separate"/>
        </w:r>
        <w:r>
          <w:rPr>
            <w:rFonts w:eastAsia="仿宋"/>
            <w:sz w:val="24"/>
          </w:rPr>
          <w:t>35</w:t>
        </w:r>
        <w:r>
          <w:rPr>
            <w:rFonts w:eastAsia="仿宋"/>
            <w:sz w:val="24"/>
          </w:rPr>
          <w:fldChar w:fldCharType="end"/>
        </w:r>
      </w:hyperlink>
    </w:p>
    <w:p w:rsidR="00000000" w:rsidRDefault="00000000">
      <w:pPr>
        <w:pStyle w:val="TOC2"/>
        <w:tabs>
          <w:tab w:val="right" w:leader="dot" w:pos="8845"/>
        </w:tabs>
        <w:rPr>
          <w:rFonts w:eastAsia="仿宋"/>
          <w:sz w:val="24"/>
        </w:rPr>
      </w:pPr>
      <w:hyperlink w:anchor="_Toc1667" w:history="1">
        <w:r>
          <w:rPr>
            <w:rFonts w:eastAsia="仿宋"/>
            <w:sz w:val="24"/>
          </w:rPr>
          <w:t>4.2</w:t>
        </w:r>
        <w:r>
          <w:rPr>
            <w:rFonts w:eastAsia="仿宋"/>
            <w:sz w:val="24"/>
          </w:rPr>
          <w:t>吉林省</w:t>
        </w:r>
        <w:r>
          <w:rPr>
            <w:rFonts w:eastAsia="仿宋"/>
            <w:sz w:val="24"/>
          </w:rPr>
          <w:t>OLED</w:t>
        </w:r>
        <w:r>
          <w:rPr>
            <w:rFonts w:eastAsia="仿宋"/>
            <w:sz w:val="24"/>
          </w:rPr>
          <w:t>发光材料产业企业创新实力分析</w:t>
        </w:r>
        <w:r>
          <w:rPr>
            <w:rFonts w:eastAsia="仿宋"/>
            <w:sz w:val="24"/>
          </w:rPr>
          <w:tab/>
        </w:r>
        <w:r>
          <w:rPr>
            <w:rFonts w:eastAsia="仿宋"/>
            <w:sz w:val="24"/>
          </w:rPr>
          <w:fldChar w:fldCharType="begin"/>
        </w:r>
        <w:r>
          <w:rPr>
            <w:rFonts w:eastAsia="仿宋"/>
            <w:sz w:val="24"/>
          </w:rPr>
          <w:instrText xml:space="preserve"> PAGEREF _Toc1667 \h </w:instrText>
        </w:r>
        <w:r>
          <w:rPr>
            <w:rFonts w:eastAsia="仿宋"/>
            <w:sz w:val="24"/>
          </w:rPr>
          <w:fldChar w:fldCharType="separate"/>
        </w:r>
        <w:r>
          <w:rPr>
            <w:rFonts w:eastAsia="仿宋"/>
            <w:sz w:val="24"/>
          </w:rPr>
          <w:t>36</w:t>
        </w:r>
        <w:r>
          <w:rPr>
            <w:rFonts w:eastAsia="仿宋"/>
            <w:sz w:val="24"/>
          </w:rPr>
          <w:fldChar w:fldCharType="end"/>
        </w:r>
      </w:hyperlink>
    </w:p>
    <w:p w:rsidR="00000000" w:rsidRDefault="00000000">
      <w:pPr>
        <w:pStyle w:val="TOC3"/>
        <w:tabs>
          <w:tab w:val="right" w:leader="dot" w:pos="8845"/>
        </w:tabs>
        <w:rPr>
          <w:rFonts w:eastAsia="仿宋"/>
          <w:sz w:val="24"/>
        </w:rPr>
      </w:pPr>
      <w:hyperlink w:anchor="_Toc2391" w:history="1">
        <w:r>
          <w:rPr>
            <w:rFonts w:eastAsia="仿宋"/>
            <w:sz w:val="24"/>
          </w:rPr>
          <w:t>4.2.1</w:t>
        </w:r>
        <w:r>
          <w:rPr>
            <w:rFonts w:eastAsia="仿宋"/>
            <w:sz w:val="24"/>
          </w:rPr>
          <w:t>吉林省</w:t>
        </w:r>
        <w:r>
          <w:rPr>
            <w:rFonts w:eastAsia="仿宋"/>
            <w:sz w:val="24"/>
          </w:rPr>
          <w:t>OLED</w:t>
        </w:r>
        <w:r>
          <w:rPr>
            <w:rFonts w:eastAsia="仿宋"/>
            <w:sz w:val="24"/>
          </w:rPr>
          <w:t>发光材料产业企业专利布局情况</w:t>
        </w:r>
        <w:r>
          <w:rPr>
            <w:rFonts w:eastAsia="仿宋"/>
            <w:sz w:val="24"/>
          </w:rPr>
          <w:tab/>
        </w:r>
        <w:r>
          <w:rPr>
            <w:rFonts w:eastAsia="仿宋"/>
            <w:sz w:val="24"/>
          </w:rPr>
          <w:fldChar w:fldCharType="begin"/>
        </w:r>
        <w:r>
          <w:rPr>
            <w:rFonts w:eastAsia="仿宋"/>
            <w:sz w:val="24"/>
          </w:rPr>
          <w:instrText xml:space="preserve"> PAGEREF _Toc2391 \h </w:instrText>
        </w:r>
        <w:r>
          <w:rPr>
            <w:rFonts w:eastAsia="仿宋"/>
            <w:sz w:val="24"/>
          </w:rPr>
          <w:fldChar w:fldCharType="separate"/>
        </w:r>
        <w:r>
          <w:rPr>
            <w:rFonts w:eastAsia="仿宋"/>
            <w:sz w:val="24"/>
          </w:rPr>
          <w:t>36</w:t>
        </w:r>
        <w:r>
          <w:rPr>
            <w:rFonts w:eastAsia="仿宋"/>
            <w:sz w:val="24"/>
          </w:rPr>
          <w:fldChar w:fldCharType="end"/>
        </w:r>
      </w:hyperlink>
    </w:p>
    <w:p w:rsidR="00000000" w:rsidRDefault="00000000">
      <w:pPr>
        <w:pStyle w:val="TOC3"/>
        <w:tabs>
          <w:tab w:val="right" w:leader="dot" w:pos="8845"/>
        </w:tabs>
        <w:rPr>
          <w:rFonts w:eastAsia="仿宋"/>
          <w:sz w:val="24"/>
        </w:rPr>
      </w:pPr>
      <w:hyperlink w:anchor="_Toc24629" w:history="1">
        <w:r>
          <w:rPr>
            <w:rFonts w:eastAsia="仿宋"/>
            <w:sz w:val="24"/>
          </w:rPr>
          <w:t>4.2.2</w:t>
        </w:r>
        <w:r>
          <w:rPr>
            <w:rFonts w:eastAsia="仿宋"/>
            <w:sz w:val="24"/>
          </w:rPr>
          <w:t>吉林省</w:t>
        </w:r>
        <w:r>
          <w:rPr>
            <w:rFonts w:eastAsia="仿宋"/>
            <w:sz w:val="24"/>
          </w:rPr>
          <w:t>OLED</w:t>
        </w:r>
        <w:r>
          <w:rPr>
            <w:rFonts w:eastAsia="仿宋"/>
            <w:sz w:val="24"/>
          </w:rPr>
          <w:t>发光材料领域重点人才分析</w:t>
        </w:r>
        <w:r>
          <w:rPr>
            <w:rFonts w:eastAsia="仿宋"/>
            <w:sz w:val="24"/>
          </w:rPr>
          <w:tab/>
        </w:r>
        <w:r>
          <w:rPr>
            <w:rFonts w:eastAsia="仿宋"/>
            <w:sz w:val="24"/>
          </w:rPr>
          <w:fldChar w:fldCharType="begin"/>
        </w:r>
        <w:r>
          <w:rPr>
            <w:rFonts w:eastAsia="仿宋"/>
            <w:sz w:val="24"/>
          </w:rPr>
          <w:instrText xml:space="preserve"> PAGEREF _Toc24629 \h </w:instrText>
        </w:r>
        <w:r>
          <w:rPr>
            <w:rFonts w:eastAsia="仿宋"/>
            <w:sz w:val="24"/>
          </w:rPr>
          <w:fldChar w:fldCharType="separate"/>
        </w:r>
        <w:r>
          <w:rPr>
            <w:rFonts w:eastAsia="仿宋"/>
            <w:sz w:val="24"/>
          </w:rPr>
          <w:t>37</w:t>
        </w:r>
        <w:r>
          <w:rPr>
            <w:rFonts w:eastAsia="仿宋"/>
            <w:sz w:val="24"/>
          </w:rPr>
          <w:fldChar w:fldCharType="end"/>
        </w:r>
      </w:hyperlink>
    </w:p>
    <w:p w:rsidR="00000000" w:rsidRDefault="00000000">
      <w:pPr>
        <w:pStyle w:val="TOC2"/>
        <w:tabs>
          <w:tab w:val="right" w:leader="dot" w:pos="8845"/>
        </w:tabs>
        <w:rPr>
          <w:rFonts w:eastAsia="仿宋"/>
          <w:sz w:val="24"/>
        </w:rPr>
      </w:pPr>
      <w:hyperlink w:anchor="_Toc6267" w:history="1">
        <w:r>
          <w:rPr>
            <w:rFonts w:eastAsia="仿宋"/>
            <w:sz w:val="24"/>
          </w:rPr>
          <w:t>4.3</w:t>
        </w:r>
        <w:r>
          <w:rPr>
            <w:rFonts w:eastAsia="仿宋"/>
            <w:sz w:val="24"/>
          </w:rPr>
          <w:t>本章小结</w:t>
        </w:r>
        <w:r>
          <w:rPr>
            <w:rFonts w:eastAsia="仿宋"/>
            <w:sz w:val="24"/>
          </w:rPr>
          <w:tab/>
        </w:r>
        <w:r>
          <w:rPr>
            <w:rFonts w:eastAsia="仿宋"/>
            <w:sz w:val="24"/>
          </w:rPr>
          <w:fldChar w:fldCharType="begin"/>
        </w:r>
        <w:r>
          <w:rPr>
            <w:rFonts w:eastAsia="仿宋"/>
            <w:sz w:val="24"/>
          </w:rPr>
          <w:instrText xml:space="preserve"> PAGEREF _Toc6267 \h </w:instrText>
        </w:r>
        <w:r>
          <w:rPr>
            <w:rFonts w:eastAsia="仿宋"/>
            <w:sz w:val="24"/>
          </w:rPr>
          <w:fldChar w:fldCharType="separate"/>
        </w:r>
        <w:r>
          <w:rPr>
            <w:rFonts w:eastAsia="仿宋"/>
            <w:sz w:val="24"/>
          </w:rPr>
          <w:t>38</w:t>
        </w:r>
        <w:r>
          <w:rPr>
            <w:rFonts w:eastAsia="仿宋"/>
            <w:sz w:val="24"/>
          </w:rPr>
          <w:fldChar w:fldCharType="end"/>
        </w:r>
      </w:hyperlink>
    </w:p>
    <w:p w:rsidR="00000000" w:rsidRDefault="00000000">
      <w:pPr>
        <w:pStyle w:val="TOC1"/>
        <w:tabs>
          <w:tab w:val="right" w:leader="dot" w:pos="8845"/>
        </w:tabs>
        <w:rPr>
          <w:rFonts w:eastAsia="仿宋"/>
          <w:sz w:val="24"/>
        </w:rPr>
      </w:pPr>
      <w:hyperlink w:anchor="_Toc26676" w:history="1">
        <w:r>
          <w:rPr>
            <w:rFonts w:eastAsia="仿宋"/>
            <w:sz w:val="24"/>
          </w:rPr>
          <w:t>第五章</w:t>
        </w:r>
        <w:r>
          <w:rPr>
            <w:rFonts w:eastAsia="仿宋"/>
            <w:sz w:val="24"/>
          </w:rPr>
          <w:t xml:space="preserve"> </w:t>
        </w:r>
        <w:r>
          <w:rPr>
            <w:rFonts w:eastAsia="仿宋"/>
            <w:sz w:val="24"/>
          </w:rPr>
          <w:t>吉林省</w:t>
        </w:r>
        <w:r>
          <w:rPr>
            <w:rFonts w:eastAsia="仿宋"/>
            <w:sz w:val="24"/>
          </w:rPr>
          <w:t>OLED</w:t>
        </w:r>
        <w:r>
          <w:rPr>
            <w:rFonts w:eastAsia="仿宋"/>
            <w:sz w:val="24"/>
          </w:rPr>
          <w:t>发光材料产业路径导航分析</w:t>
        </w:r>
        <w:r>
          <w:rPr>
            <w:rFonts w:eastAsia="仿宋"/>
            <w:sz w:val="24"/>
          </w:rPr>
          <w:tab/>
        </w:r>
        <w:r>
          <w:rPr>
            <w:rFonts w:eastAsia="仿宋"/>
            <w:sz w:val="24"/>
          </w:rPr>
          <w:fldChar w:fldCharType="begin"/>
        </w:r>
        <w:r>
          <w:rPr>
            <w:rFonts w:eastAsia="仿宋"/>
            <w:sz w:val="24"/>
          </w:rPr>
          <w:instrText xml:space="preserve"> PAGEREF _Toc26676 \h </w:instrText>
        </w:r>
        <w:r>
          <w:rPr>
            <w:rFonts w:eastAsia="仿宋"/>
            <w:sz w:val="24"/>
          </w:rPr>
          <w:fldChar w:fldCharType="separate"/>
        </w:r>
        <w:r>
          <w:rPr>
            <w:rFonts w:eastAsia="仿宋"/>
            <w:sz w:val="24"/>
          </w:rPr>
          <w:t>39</w:t>
        </w:r>
        <w:r>
          <w:rPr>
            <w:rFonts w:eastAsia="仿宋"/>
            <w:sz w:val="24"/>
          </w:rPr>
          <w:fldChar w:fldCharType="end"/>
        </w:r>
      </w:hyperlink>
    </w:p>
    <w:p w:rsidR="00000000" w:rsidRDefault="00000000">
      <w:pPr>
        <w:pStyle w:val="TOC2"/>
        <w:tabs>
          <w:tab w:val="right" w:leader="dot" w:pos="8845"/>
        </w:tabs>
        <w:rPr>
          <w:rFonts w:eastAsia="仿宋"/>
          <w:sz w:val="24"/>
        </w:rPr>
      </w:pPr>
      <w:hyperlink w:anchor="_Toc16859" w:history="1">
        <w:r>
          <w:rPr>
            <w:rFonts w:eastAsia="仿宋"/>
            <w:sz w:val="24"/>
          </w:rPr>
          <w:t xml:space="preserve">5.1 </w:t>
        </w:r>
        <w:r>
          <w:rPr>
            <w:rFonts w:eastAsia="仿宋"/>
            <w:sz w:val="24"/>
          </w:rPr>
          <w:t>产业布局优化路径</w:t>
        </w:r>
        <w:r>
          <w:rPr>
            <w:rFonts w:eastAsia="仿宋"/>
            <w:sz w:val="24"/>
          </w:rPr>
          <w:tab/>
        </w:r>
        <w:r>
          <w:rPr>
            <w:rFonts w:eastAsia="仿宋"/>
            <w:sz w:val="24"/>
          </w:rPr>
          <w:fldChar w:fldCharType="begin"/>
        </w:r>
        <w:r>
          <w:rPr>
            <w:rFonts w:eastAsia="仿宋"/>
            <w:sz w:val="24"/>
          </w:rPr>
          <w:instrText xml:space="preserve"> PAGEREF _Toc16859 \h </w:instrText>
        </w:r>
        <w:r>
          <w:rPr>
            <w:rFonts w:eastAsia="仿宋"/>
            <w:sz w:val="24"/>
          </w:rPr>
          <w:fldChar w:fldCharType="separate"/>
        </w:r>
        <w:r>
          <w:rPr>
            <w:rFonts w:eastAsia="仿宋"/>
            <w:sz w:val="24"/>
          </w:rPr>
          <w:t>39</w:t>
        </w:r>
        <w:r>
          <w:rPr>
            <w:rFonts w:eastAsia="仿宋"/>
            <w:sz w:val="24"/>
          </w:rPr>
          <w:fldChar w:fldCharType="end"/>
        </w:r>
      </w:hyperlink>
    </w:p>
    <w:p w:rsidR="00000000" w:rsidRDefault="00000000">
      <w:pPr>
        <w:pStyle w:val="TOC2"/>
        <w:tabs>
          <w:tab w:val="right" w:leader="dot" w:pos="8845"/>
        </w:tabs>
        <w:rPr>
          <w:rFonts w:eastAsia="仿宋"/>
          <w:sz w:val="24"/>
        </w:rPr>
      </w:pPr>
      <w:hyperlink w:anchor="_Toc800" w:history="1">
        <w:r>
          <w:rPr>
            <w:rFonts w:eastAsia="仿宋"/>
            <w:sz w:val="24"/>
          </w:rPr>
          <w:t xml:space="preserve">5.2 </w:t>
        </w:r>
        <w:r>
          <w:rPr>
            <w:rFonts w:eastAsia="仿宋"/>
            <w:sz w:val="24"/>
          </w:rPr>
          <w:t>企业培育及引进路径</w:t>
        </w:r>
        <w:r>
          <w:rPr>
            <w:rFonts w:eastAsia="仿宋"/>
            <w:sz w:val="24"/>
          </w:rPr>
          <w:tab/>
        </w:r>
        <w:r>
          <w:rPr>
            <w:rFonts w:eastAsia="仿宋"/>
            <w:sz w:val="24"/>
          </w:rPr>
          <w:fldChar w:fldCharType="begin"/>
        </w:r>
        <w:r>
          <w:rPr>
            <w:rFonts w:eastAsia="仿宋"/>
            <w:sz w:val="24"/>
          </w:rPr>
          <w:instrText xml:space="preserve"> PAGEREF _Toc800 \h </w:instrText>
        </w:r>
        <w:r>
          <w:rPr>
            <w:rFonts w:eastAsia="仿宋"/>
            <w:sz w:val="24"/>
          </w:rPr>
          <w:fldChar w:fldCharType="separate"/>
        </w:r>
        <w:r>
          <w:rPr>
            <w:rFonts w:eastAsia="仿宋"/>
            <w:sz w:val="24"/>
          </w:rPr>
          <w:t>40</w:t>
        </w:r>
        <w:r>
          <w:rPr>
            <w:rFonts w:eastAsia="仿宋"/>
            <w:sz w:val="24"/>
          </w:rPr>
          <w:fldChar w:fldCharType="end"/>
        </w:r>
      </w:hyperlink>
    </w:p>
    <w:p w:rsidR="00000000" w:rsidRDefault="00000000">
      <w:pPr>
        <w:pStyle w:val="TOC3"/>
        <w:tabs>
          <w:tab w:val="right" w:leader="dot" w:pos="8845"/>
        </w:tabs>
        <w:rPr>
          <w:rFonts w:eastAsia="仿宋"/>
          <w:sz w:val="24"/>
        </w:rPr>
      </w:pPr>
      <w:hyperlink w:anchor="_Toc6805" w:history="1">
        <w:r>
          <w:rPr>
            <w:rFonts w:eastAsia="仿宋"/>
            <w:sz w:val="24"/>
          </w:rPr>
          <w:t xml:space="preserve">5.2.1 </w:t>
        </w:r>
        <w:r>
          <w:rPr>
            <w:rFonts w:eastAsia="仿宋"/>
            <w:sz w:val="24"/>
          </w:rPr>
          <w:t>吉林省企业培育引进路径</w:t>
        </w:r>
        <w:r>
          <w:rPr>
            <w:rFonts w:eastAsia="仿宋"/>
            <w:sz w:val="24"/>
          </w:rPr>
          <w:tab/>
        </w:r>
        <w:r>
          <w:rPr>
            <w:rFonts w:eastAsia="仿宋"/>
            <w:sz w:val="24"/>
          </w:rPr>
          <w:fldChar w:fldCharType="begin"/>
        </w:r>
        <w:r>
          <w:rPr>
            <w:rFonts w:eastAsia="仿宋"/>
            <w:sz w:val="24"/>
          </w:rPr>
          <w:instrText xml:space="preserve"> PAGEREF _Toc6805 \h </w:instrText>
        </w:r>
        <w:r>
          <w:rPr>
            <w:rFonts w:eastAsia="仿宋"/>
            <w:sz w:val="24"/>
          </w:rPr>
          <w:fldChar w:fldCharType="separate"/>
        </w:r>
        <w:r>
          <w:rPr>
            <w:rFonts w:eastAsia="仿宋"/>
            <w:sz w:val="24"/>
          </w:rPr>
          <w:t>40</w:t>
        </w:r>
        <w:r>
          <w:rPr>
            <w:rFonts w:eastAsia="仿宋"/>
            <w:sz w:val="24"/>
          </w:rPr>
          <w:fldChar w:fldCharType="end"/>
        </w:r>
      </w:hyperlink>
    </w:p>
    <w:p w:rsidR="00000000" w:rsidRDefault="00000000">
      <w:pPr>
        <w:pStyle w:val="TOC3"/>
        <w:tabs>
          <w:tab w:val="right" w:leader="dot" w:pos="8845"/>
        </w:tabs>
        <w:rPr>
          <w:rFonts w:eastAsia="仿宋"/>
          <w:sz w:val="24"/>
        </w:rPr>
      </w:pPr>
      <w:hyperlink w:anchor="_Toc12437" w:history="1">
        <w:r>
          <w:rPr>
            <w:rFonts w:eastAsia="仿宋"/>
            <w:sz w:val="24"/>
          </w:rPr>
          <w:t xml:space="preserve">5.2.2 </w:t>
        </w:r>
        <w:r>
          <w:rPr>
            <w:rFonts w:eastAsia="仿宋"/>
            <w:sz w:val="24"/>
          </w:rPr>
          <w:t>本地企业培育</w:t>
        </w:r>
        <w:r>
          <w:rPr>
            <w:rFonts w:eastAsia="仿宋"/>
            <w:sz w:val="24"/>
          </w:rPr>
          <w:tab/>
        </w:r>
        <w:r>
          <w:rPr>
            <w:rFonts w:eastAsia="仿宋"/>
            <w:sz w:val="24"/>
          </w:rPr>
          <w:fldChar w:fldCharType="begin"/>
        </w:r>
        <w:r>
          <w:rPr>
            <w:rFonts w:eastAsia="仿宋"/>
            <w:sz w:val="24"/>
          </w:rPr>
          <w:instrText xml:space="preserve"> PAGEREF _Toc12437 \h </w:instrText>
        </w:r>
        <w:r>
          <w:rPr>
            <w:rFonts w:eastAsia="仿宋"/>
            <w:sz w:val="24"/>
          </w:rPr>
          <w:fldChar w:fldCharType="separate"/>
        </w:r>
        <w:r>
          <w:rPr>
            <w:rFonts w:eastAsia="仿宋"/>
            <w:sz w:val="24"/>
          </w:rPr>
          <w:t>41</w:t>
        </w:r>
        <w:r>
          <w:rPr>
            <w:rFonts w:eastAsia="仿宋"/>
            <w:sz w:val="24"/>
          </w:rPr>
          <w:fldChar w:fldCharType="end"/>
        </w:r>
      </w:hyperlink>
    </w:p>
    <w:p w:rsidR="00000000" w:rsidRDefault="00000000">
      <w:pPr>
        <w:pStyle w:val="TOC3"/>
        <w:tabs>
          <w:tab w:val="right" w:leader="dot" w:pos="8845"/>
        </w:tabs>
        <w:rPr>
          <w:rFonts w:eastAsia="仿宋"/>
          <w:sz w:val="24"/>
        </w:rPr>
      </w:pPr>
      <w:hyperlink w:anchor="_Toc20202" w:history="1">
        <w:r>
          <w:rPr>
            <w:rFonts w:eastAsia="仿宋"/>
            <w:sz w:val="24"/>
          </w:rPr>
          <w:t xml:space="preserve">5.2.3 </w:t>
        </w:r>
        <w:r>
          <w:rPr>
            <w:rFonts w:eastAsia="仿宋"/>
            <w:sz w:val="24"/>
          </w:rPr>
          <w:t>外地企业培育</w:t>
        </w:r>
        <w:r>
          <w:rPr>
            <w:rFonts w:eastAsia="仿宋"/>
            <w:sz w:val="24"/>
          </w:rPr>
          <w:tab/>
        </w:r>
        <w:r>
          <w:rPr>
            <w:rFonts w:eastAsia="仿宋"/>
            <w:sz w:val="24"/>
          </w:rPr>
          <w:fldChar w:fldCharType="begin"/>
        </w:r>
        <w:r>
          <w:rPr>
            <w:rFonts w:eastAsia="仿宋"/>
            <w:sz w:val="24"/>
          </w:rPr>
          <w:instrText xml:space="preserve"> PAGEREF _Toc20202 \h </w:instrText>
        </w:r>
        <w:r>
          <w:rPr>
            <w:rFonts w:eastAsia="仿宋"/>
            <w:sz w:val="24"/>
          </w:rPr>
          <w:fldChar w:fldCharType="separate"/>
        </w:r>
        <w:r>
          <w:rPr>
            <w:rFonts w:eastAsia="仿宋"/>
            <w:sz w:val="24"/>
          </w:rPr>
          <w:t>41</w:t>
        </w:r>
        <w:r>
          <w:rPr>
            <w:rFonts w:eastAsia="仿宋"/>
            <w:sz w:val="24"/>
          </w:rPr>
          <w:fldChar w:fldCharType="end"/>
        </w:r>
      </w:hyperlink>
    </w:p>
    <w:p w:rsidR="00000000" w:rsidRDefault="00000000">
      <w:pPr>
        <w:pStyle w:val="TOC3"/>
        <w:tabs>
          <w:tab w:val="right" w:leader="dot" w:pos="8845"/>
        </w:tabs>
        <w:rPr>
          <w:rFonts w:eastAsia="仿宋"/>
          <w:sz w:val="24"/>
        </w:rPr>
      </w:pPr>
      <w:hyperlink w:anchor="_Toc12959" w:history="1">
        <w:r>
          <w:rPr>
            <w:rFonts w:eastAsia="仿宋"/>
            <w:sz w:val="24"/>
          </w:rPr>
          <w:t xml:space="preserve">5.2.4 </w:t>
        </w:r>
        <w:r>
          <w:rPr>
            <w:rFonts w:eastAsia="仿宋"/>
            <w:sz w:val="24"/>
          </w:rPr>
          <w:t>国外企业培育</w:t>
        </w:r>
        <w:r>
          <w:rPr>
            <w:rFonts w:eastAsia="仿宋"/>
            <w:sz w:val="24"/>
          </w:rPr>
          <w:tab/>
        </w:r>
        <w:r>
          <w:rPr>
            <w:rFonts w:eastAsia="仿宋"/>
            <w:sz w:val="24"/>
          </w:rPr>
          <w:fldChar w:fldCharType="begin"/>
        </w:r>
        <w:r>
          <w:rPr>
            <w:rFonts w:eastAsia="仿宋"/>
            <w:sz w:val="24"/>
          </w:rPr>
          <w:instrText xml:space="preserve"> PAGEREF _Toc12959 \h </w:instrText>
        </w:r>
        <w:r>
          <w:rPr>
            <w:rFonts w:eastAsia="仿宋"/>
            <w:sz w:val="24"/>
          </w:rPr>
          <w:fldChar w:fldCharType="separate"/>
        </w:r>
        <w:r>
          <w:rPr>
            <w:rFonts w:eastAsia="仿宋"/>
            <w:sz w:val="24"/>
          </w:rPr>
          <w:t>42</w:t>
        </w:r>
        <w:r>
          <w:rPr>
            <w:rFonts w:eastAsia="仿宋"/>
            <w:sz w:val="24"/>
          </w:rPr>
          <w:fldChar w:fldCharType="end"/>
        </w:r>
      </w:hyperlink>
    </w:p>
    <w:p w:rsidR="00000000" w:rsidRDefault="00000000">
      <w:pPr>
        <w:pStyle w:val="TOC2"/>
        <w:tabs>
          <w:tab w:val="right" w:leader="dot" w:pos="8845"/>
        </w:tabs>
        <w:rPr>
          <w:rFonts w:eastAsia="仿宋"/>
          <w:sz w:val="24"/>
        </w:rPr>
      </w:pPr>
      <w:hyperlink w:anchor="_Toc27733" w:history="1">
        <w:r>
          <w:rPr>
            <w:rFonts w:eastAsia="仿宋"/>
            <w:sz w:val="24"/>
          </w:rPr>
          <w:t xml:space="preserve">5.3 </w:t>
        </w:r>
        <w:r>
          <w:rPr>
            <w:rFonts w:eastAsia="仿宋"/>
            <w:sz w:val="24"/>
          </w:rPr>
          <w:t>技术创新引进提升路径</w:t>
        </w:r>
        <w:r>
          <w:rPr>
            <w:rFonts w:eastAsia="仿宋"/>
            <w:sz w:val="24"/>
          </w:rPr>
          <w:tab/>
        </w:r>
        <w:r>
          <w:rPr>
            <w:rFonts w:eastAsia="仿宋"/>
            <w:sz w:val="24"/>
          </w:rPr>
          <w:fldChar w:fldCharType="begin"/>
        </w:r>
        <w:r>
          <w:rPr>
            <w:rFonts w:eastAsia="仿宋"/>
            <w:sz w:val="24"/>
          </w:rPr>
          <w:instrText xml:space="preserve"> PAGEREF _Toc27733 \h </w:instrText>
        </w:r>
        <w:r>
          <w:rPr>
            <w:rFonts w:eastAsia="仿宋"/>
            <w:sz w:val="24"/>
          </w:rPr>
          <w:fldChar w:fldCharType="separate"/>
        </w:r>
        <w:r>
          <w:rPr>
            <w:rFonts w:eastAsia="仿宋"/>
            <w:sz w:val="24"/>
          </w:rPr>
          <w:t>43</w:t>
        </w:r>
        <w:r>
          <w:rPr>
            <w:rFonts w:eastAsia="仿宋"/>
            <w:sz w:val="24"/>
          </w:rPr>
          <w:fldChar w:fldCharType="end"/>
        </w:r>
      </w:hyperlink>
    </w:p>
    <w:p w:rsidR="00000000" w:rsidRDefault="00000000">
      <w:pPr>
        <w:pStyle w:val="TOC3"/>
        <w:tabs>
          <w:tab w:val="right" w:leader="dot" w:pos="8845"/>
        </w:tabs>
        <w:rPr>
          <w:rFonts w:eastAsia="仿宋"/>
          <w:sz w:val="24"/>
        </w:rPr>
      </w:pPr>
      <w:hyperlink w:anchor="_Toc28131" w:history="1">
        <w:r>
          <w:rPr>
            <w:rFonts w:eastAsia="仿宋"/>
            <w:sz w:val="24"/>
          </w:rPr>
          <w:t xml:space="preserve">5.3.1 </w:t>
        </w:r>
        <w:r>
          <w:rPr>
            <w:rFonts w:eastAsia="仿宋"/>
            <w:sz w:val="24"/>
          </w:rPr>
          <w:t>高价值专利的收储</w:t>
        </w:r>
        <w:r>
          <w:rPr>
            <w:rFonts w:eastAsia="仿宋"/>
            <w:sz w:val="24"/>
          </w:rPr>
          <w:tab/>
        </w:r>
        <w:r>
          <w:rPr>
            <w:rFonts w:eastAsia="仿宋"/>
            <w:sz w:val="24"/>
          </w:rPr>
          <w:fldChar w:fldCharType="begin"/>
        </w:r>
        <w:r>
          <w:rPr>
            <w:rFonts w:eastAsia="仿宋"/>
            <w:sz w:val="24"/>
          </w:rPr>
          <w:instrText xml:space="preserve"> PAGEREF _Toc28131 \h </w:instrText>
        </w:r>
        <w:r>
          <w:rPr>
            <w:rFonts w:eastAsia="仿宋"/>
            <w:sz w:val="24"/>
          </w:rPr>
          <w:fldChar w:fldCharType="separate"/>
        </w:r>
        <w:r>
          <w:rPr>
            <w:rFonts w:eastAsia="仿宋"/>
            <w:sz w:val="24"/>
          </w:rPr>
          <w:t>43</w:t>
        </w:r>
        <w:r>
          <w:rPr>
            <w:rFonts w:eastAsia="仿宋"/>
            <w:sz w:val="24"/>
          </w:rPr>
          <w:fldChar w:fldCharType="end"/>
        </w:r>
      </w:hyperlink>
    </w:p>
    <w:p w:rsidR="00000000" w:rsidRDefault="00000000">
      <w:pPr>
        <w:pStyle w:val="TOC3"/>
        <w:tabs>
          <w:tab w:val="right" w:leader="dot" w:pos="8845"/>
        </w:tabs>
        <w:rPr>
          <w:rFonts w:eastAsia="仿宋"/>
          <w:sz w:val="24"/>
        </w:rPr>
      </w:pPr>
      <w:hyperlink w:anchor="_Toc1435" w:history="1">
        <w:r>
          <w:rPr>
            <w:rFonts w:eastAsia="仿宋"/>
            <w:sz w:val="24"/>
          </w:rPr>
          <w:t xml:space="preserve">5.3.2 </w:t>
        </w:r>
        <w:r>
          <w:rPr>
            <w:rFonts w:eastAsia="仿宋"/>
            <w:sz w:val="24"/>
          </w:rPr>
          <w:t>失效专利运用</w:t>
        </w:r>
        <w:r>
          <w:rPr>
            <w:rFonts w:eastAsia="仿宋"/>
            <w:sz w:val="24"/>
          </w:rPr>
          <w:tab/>
        </w:r>
        <w:r>
          <w:rPr>
            <w:rFonts w:eastAsia="仿宋"/>
            <w:sz w:val="24"/>
          </w:rPr>
          <w:fldChar w:fldCharType="begin"/>
        </w:r>
        <w:r>
          <w:rPr>
            <w:rFonts w:eastAsia="仿宋"/>
            <w:sz w:val="24"/>
          </w:rPr>
          <w:instrText xml:space="preserve"> PAGEREF _Toc1435 \h </w:instrText>
        </w:r>
        <w:r>
          <w:rPr>
            <w:rFonts w:eastAsia="仿宋"/>
            <w:sz w:val="24"/>
          </w:rPr>
          <w:fldChar w:fldCharType="separate"/>
        </w:r>
        <w:r>
          <w:rPr>
            <w:rFonts w:eastAsia="仿宋"/>
            <w:sz w:val="24"/>
          </w:rPr>
          <w:t>45</w:t>
        </w:r>
        <w:r>
          <w:rPr>
            <w:rFonts w:eastAsia="仿宋"/>
            <w:sz w:val="24"/>
          </w:rPr>
          <w:fldChar w:fldCharType="end"/>
        </w:r>
      </w:hyperlink>
    </w:p>
    <w:p w:rsidR="00000000" w:rsidRDefault="00000000">
      <w:pPr>
        <w:pStyle w:val="TOC3"/>
        <w:tabs>
          <w:tab w:val="right" w:leader="dot" w:pos="8845"/>
        </w:tabs>
        <w:rPr>
          <w:rFonts w:eastAsia="仿宋"/>
          <w:sz w:val="24"/>
        </w:rPr>
      </w:pPr>
      <w:hyperlink w:anchor="_Toc12285" w:history="1">
        <w:r>
          <w:rPr>
            <w:rFonts w:eastAsia="仿宋"/>
            <w:sz w:val="24"/>
          </w:rPr>
          <w:t xml:space="preserve">5.3.3 </w:t>
        </w:r>
        <w:r>
          <w:rPr>
            <w:rFonts w:eastAsia="仿宋"/>
            <w:sz w:val="24"/>
          </w:rPr>
          <w:t>利用公知技术路径</w:t>
        </w:r>
        <w:r>
          <w:rPr>
            <w:rFonts w:eastAsia="仿宋"/>
            <w:sz w:val="24"/>
          </w:rPr>
          <w:tab/>
        </w:r>
        <w:r>
          <w:rPr>
            <w:rFonts w:eastAsia="仿宋"/>
            <w:sz w:val="24"/>
          </w:rPr>
          <w:fldChar w:fldCharType="begin"/>
        </w:r>
        <w:r>
          <w:rPr>
            <w:rFonts w:eastAsia="仿宋"/>
            <w:sz w:val="24"/>
          </w:rPr>
          <w:instrText xml:space="preserve"> PAGEREF _Toc12285 \h </w:instrText>
        </w:r>
        <w:r>
          <w:rPr>
            <w:rFonts w:eastAsia="仿宋"/>
            <w:sz w:val="24"/>
          </w:rPr>
          <w:fldChar w:fldCharType="separate"/>
        </w:r>
        <w:r>
          <w:rPr>
            <w:rFonts w:eastAsia="仿宋"/>
            <w:sz w:val="24"/>
          </w:rPr>
          <w:t>46</w:t>
        </w:r>
        <w:r>
          <w:rPr>
            <w:rFonts w:eastAsia="仿宋"/>
            <w:sz w:val="24"/>
          </w:rPr>
          <w:fldChar w:fldCharType="end"/>
        </w:r>
      </w:hyperlink>
    </w:p>
    <w:p w:rsidR="00000000" w:rsidRDefault="00000000">
      <w:pPr>
        <w:pStyle w:val="TOC2"/>
        <w:tabs>
          <w:tab w:val="right" w:leader="dot" w:pos="8845"/>
        </w:tabs>
        <w:rPr>
          <w:rFonts w:eastAsia="仿宋"/>
          <w:sz w:val="24"/>
        </w:rPr>
      </w:pPr>
      <w:hyperlink w:anchor="_Toc18472" w:history="1">
        <w:r>
          <w:rPr>
            <w:rFonts w:eastAsia="仿宋"/>
            <w:sz w:val="24"/>
          </w:rPr>
          <w:t xml:space="preserve">5.4 </w:t>
        </w:r>
        <w:r>
          <w:rPr>
            <w:rFonts w:eastAsia="仿宋"/>
            <w:sz w:val="24"/>
          </w:rPr>
          <w:t>创新人才引进培养路径</w:t>
        </w:r>
        <w:r>
          <w:rPr>
            <w:rFonts w:eastAsia="仿宋"/>
            <w:sz w:val="24"/>
          </w:rPr>
          <w:tab/>
        </w:r>
        <w:r>
          <w:rPr>
            <w:rFonts w:eastAsia="仿宋"/>
            <w:sz w:val="24"/>
          </w:rPr>
          <w:fldChar w:fldCharType="begin"/>
        </w:r>
        <w:r>
          <w:rPr>
            <w:rFonts w:eastAsia="仿宋"/>
            <w:sz w:val="24"/>
          </w:rPr>
          <w:instrText xml:space="preserve"> PAGEREF _Toc18472 \h </w:instrText>
        </w:r>
        <w:r>
          <w:rPr>
            <w:rFonts w:eastAsia="仿宋"/>
            <w:sz w:val="24"/>
          </w:rPr>
          <w:fldChar w:fldCharType="separate"/>
        </w:r>
        <w:r>
          <w:rPr>
            <w:rFonts w:eastAsia="仿宋"/>
            <w:sz w:val="24"/>
          </w:rPr>
          <w:t>46</w:t>
        </w:r>
        <w:r>
          <w:rPr>
            <w:rFonts w:eastAsia="仿宋"/>
            <w:sz w:val="24"/>
          </w:rPr>
          <w:fldChar w:fldCharType="end"/>
        </w:r>
      </w:hyperlink>
    </w:p>
    <w:p w:rsidR="00000000" w:rsidRDefault="00000000">
      <w:pPr>
        <w:pStyle w:val="TOC3"/>
        <w:tabs>
          <w:tab w:val="right" w:leader="dot" w:pos="8845"/>
        </w:tabs>
        <w:rPr>
          <w:rFonts w:eastAsia="仿宋"/>
          <w:sz w:val="24"/>
        </w:rPr>
      </w:pPr>
      <w:hyperlink w:anchor="_Toc13796" w:history="1">
        <w:r>
          <w:rPr>
            <w:rFonts w:eastAsia="仿宋"/>
            <w:sz w:val="24"/>
          </w:rPr>
          <w:t xml:space="preserve">5.4.1 </w:t>
        </w:r>
        <w:r>
          <w:rPr>
            <w:rFonts w:eastAsia="仿宋"/>
            <w:sz w:val="24"/>
          </w:rPr>
          <w:t>本地人才培养</w:t>
        </w:r>
        <w:r>
          <w:rPr>
            <w:rFonts w:eastAsia="仿宋"/>
            <w:sz w:val="24"/>
          </w:rPr>
          <w:tab/>
        </w:r>
        <w:r>
          <w:rPr>
            <w:rFonts w:eastAsia="仿宋"/>
            <w:sz w:val="24"/>
          </w:rPr>
          <w:fldChar w:fldCharType="begin"/>
        </w:r>
        <w:r>
          <w:rPr>
            <w:rFonts w:eastAsia="仿宋"/>
            <w:sz w:val="24"/>
          </w:rPr>
          <w:instrText xml:space="preserve"> PAGEREF _Toc13796 \h </w:instrText>
        </w:r>
        <w:r>
          <w:rPr>
            <w:rFonts w:eastAsia="仿宋"/>
            <w:sz w:val="24"/>
          </w:rPr>
          <w:fldChar w:fldCharType="separate"/>
        </w:r>
        <w:r>
          <w:rPr>
            <w:rFonts w:eastAsia="仿宋"/>
            <w:sz w:val="24"/>
          </w:rPr>
          <w:t>47</w:t>
        </w:r>
        <w:r>
          <w:rPr>
            <w:rFonts w:eastAsia="仿宋"/>
            <w:sz w:val="24"/>
          </w:rPr>
          <w:fldChar w:fldCharType="end"/>
        </w:r>
      </w:hyperlink>
    </w:p>
    <w:p w:rsidR="00000000" w:rsidRDefault="00000000">
      <w:pPr>
        <w:pStyle w:val="TOC3"/>
        <w:tabs>
          <w:tab w:val="right" w:leader="dot" w:pos="8845"/>
        </w:tabs>
        <w:rPr>
          <w:rFonts w:eastAsia="仿宋"/>
          <w:sz w:val="24"/>
        </w:rPr>
      </w:pPr>
      <w:hyperlink w:anchor="_Toc5484" w:history="1">
        <w:r>
          <w:rPr>
            <w:rFonts w:eastAsia="仿宋"/>
            <w:sz w:val="24"/>
          </w:rPr>
          <w:t xml:space="preserve">5.4.2 </w:t>
        </w:r>
        <w:r>
          <w:rPr>
            <w:rFonts w:eastAsia="仿宋"/>
            <w:sz w:val="24"/>
          </w:rPr>
          <w:t>国内人才引进</w:t>
        </w:r>
        <w:r>
          <w:rPr>
            <w:rFonts w:eastAsia="仿宋"/>
            <w:sz w:val="24"/>
          </w:rPr>
          <w:tab/>
        </w:r>
        <w:r>
          <w:rPr>
            <w:rFonts w:eastAsia="仿宋"/>
            <w:sz w:val="24"/>
          </w:rPr>
          <w:fldChar w:fldCharType="begin"/>
        </w:r>
        <w:r>
          <w:rPr>
            <w:rFonts w:eastAsia="仿宋"/>
            <w:sz w:val="24"/>
          </w:rPr>
          <w:instrText xml:space="preserve"> PAGEREF _Toc5484 \h </w:instrText>
        </w:r>
        <w:r>
          <w:rPr>
            <w:rFonts w:eastAsia="仿宋"/>
            <w:sz w:val="24"/>
          </w:rPr>
          <w:fldChar w:fldCharType="separate"/>
        </w:r>
        <w:r>
          <w:rPr>
            <w:rFonts w:eastAsia="仿宋"/>
            <w:sz w:val="24"/>
          </w:rPr>
          <w:t>47</w:t>
        </w:r>
        <w:r>
          <w:rPr>
            <w:rFonts w:eastAsia="仿宋"/>
            <w:sz w:val="24"/>
          </w:rPr>
          <w:fldChar w:fldCharType="end"/>
        </w:r>
      </w:hyperlink>
    </w:p>
    <w:p w:rsidR="00000000" w:rsidRDefault="00000000">
      <w:pPr>
        <w:pStyle w:val="TOC3"/>
        <w:tabs>
          <w:tab w:val="right" w:leader="dot" w:pos="8845"/>
        </w:tabs>
        <w:rPr>
          <w:rFonts w:eastAsia="仿宋"/>
          <w:sz w:val="24"/>
        </w:rPr>
      </w:pPr>
      <w:hyperlink w:anchor="_Toc23120" w:history="1">
        <w:r>
          <w:rPr>
            <w:rFonts w:eastAsia="仿宋"/>
            <w:sz w:val="24"/>
          </w:rPr>
          <w:t xml:space="preserve">5.4.3 </w:t>
        </w:r>
        <w:r>
          <w:rPr>
            <w:rFonts w:eastAsia="仿宋"/>
            <w:sz w:val="24"/>
          </w:rPr>
          <w:t>国外人才引进</w:t>
        </w:r>
        <w:r>
          <w:rPr>
            <w:rFonts w:eastAsia="仿宋"/>
            <w:sz w:val="24"/>
          </w:rPr>
          <w:tab/>
        </w:r>
        <w:r>
          <w:rPr>
            <w:rFonts w:eastAsia="仿宋"/>
            <w:sz w:val="24"/>
          </w:rPr>
          <w:fldChar w:fldCharType="begin"/>
        </w:r>
        <w:r>
          <w:rPr>
            <w:rFonts w:eastAsia="仿宋"/>
            <w:sz w:val="24"/>
          </w:rPr>
          <w:instrText xml:space="preserve"> PAGEREF _Toc23120 \h </w:instrText>
        </w:r>
        <w:r>
          <w:rPr>
            <w:rFonts w:eastAsia="仿宋"/>
            <w:sz w:val="24"/>
          </w:rPr>
          <w:fldChar w:fldCharType="separate"/>
        </w:r>
        <w:r>
          <w:rPr>
            <w:rFonts w:eastAsia="仿宋"/>
            <w:sz w:val="24"/>
          </w:rPr>
          <w:t>48</w:t>
        </w:r>
        <w:r>
          <w:rPr>
            <w:rFonts w:eastAsia="仿宋"/>
            <w:sz w:val="24"/>
          </w:rPr>
          <w:fldChar w:fldCharType="end"/>
        </w:r>
      </w:hyperlink>
    </w:p>
    <w:p w:rsidR="00000000" w:rsidRDefault="00000000">
      <w:pPr>
        <w:pStyle w:val="TOC2"/>
        <w:tabs>
          <w:tab w:val="right" w:leader="dot" w:pos="8845"/>
        </w:tabs>
      </w:pPr>
      <w:hyperlink w:anchor="_Toc2077" w:history="1">
        <w:r>
          <w:rPr>
            <w:rFonts w:eastAsia="仿宋"/>
            <w:sz w:val="24"/>
          </w:rPr>
          <w:t xml:space="preserve">5.5 </w:t>
        </w:r>
        <w:r>
          <w:rPr>
            <w:rFonts w:eastAsia="仿宋"/>
            <w:sz w:val="24"/>
          </w:rPr>
          <w:t>吉林省</w:t>
        </w:r>
        <w:r>
          <w:rPr>
            <w:rFonts w:eastAsia="仿宋"/>
            <w:sz w:val="24"/>
          </w:rPr>
          <w:t>OLED</w:t>
        </w:r>
        <w:r>
          <w:rPr>
            <w:rFonts w:eastAsia="仿宋"/>
            <w:sz w:val="24"/>
          </w:rPr>
          <w:t>发光材料领域发展的对策</w:t>
        </w:r>
        <w:r>
          <w:rPr>
            <w:rFonts w:eastAsia="仿宋"/>
            <w:sz w:val="24"/>
          </w:rPr>
          <w:tab/>
        </w:r>
        <w:r>
          <w:rPr>
            <w:rFonts w:eastAsia="仿宋"/>
            <w:sz w:val="24"/>
          </w:rPr>
          <w:fldChar w:fldCharType="begin"/>
        </w:r>
        <w:r>
          <w:rPr>
            <w:rFonts w:eastAsia="仿宋"/>
            <w:sz w:val="24"/>
          </w:rPr>
          <w:instrText xml:space="preserve"> PAGEREF _Toc2077 \h </w:instrText>
        </w:r>
        <w:r>
          <w:rPr>
            <w:rFonts w:eastAsia="仿宋"/>
            <w:sz w:val="24"/>
          </w:rPr>
          <w:fldChar w:fldCharType="separate"/>
        </w:r>
        <w:r>
          <w:rPr>
            <w:rFonts w:eastAsia="仿宋"/>
            <w:sz w:val="24"/>
          </w:rPr>
          <w:t>49</w:t>
        </w:r>
        <w:r>
          <w:rPr>
            <w:rFonts w:eastAsia="仿宋"/>
            <w:sz w:val="24"/>
          </w:rPr>
          <w:fldChar w:fldCharType="end"/>
        </w:r>
      </w:hyperlink>
    </w:p>
    <w:p w:rsidR="00000000" w:rsidRDefault="00000000">
      <w:pPr>
        <w:spacing w:line="240" w:lineRule="auto"/>
        <w:rPr>
          <w:rFonts w:eastAsia="仿宋"/>
        </w:rPr>
      </w:pPr>
      <w:r>
        <w:rPr>
          <w:rFonts w:eastAsia="仿宋"/>
          <w:sz w:val="24"/>
        </w:rPr>
        <w:fldChar w:fldCharType="end"/>
      </w:r>
    </w:p>
    <w:p w:rsidR="00000000" w:rsidRDefault="00000000">
      <w:pPr>
        <w:rPr>
          <w:rFonts w:eastAsia="仿宋"/>
        </w:rPr>
        <w:sectPr w:rsidR="00000000">
          <w:headerReference w:type="default" r:id="rId9"/>
          <w:footerReference w:type="default" r:id="rId10"/>
          <w:pgSz w:w="11906" w:h="16838"/>
          <w:pgMar w:top="2098" w:right="1474" w:bottom="1984" w:left="1587" w:header="851" w:footer="992" w:gutter="0"/>
          <w:pgBorders>
            <w:top w:val="none" w:sz="0" w:space="1" w:color="auto"/>
            <w:left w:val="none" w:sz="0" w:space="4" w:color="auto"/>
            <w:bottom w:val="none" w:sz="0" w:space="1" w:color="auto"/>
            <w:right w:val="none" w:sz="0" w:space="4" w:color="auto"/>
          </w:pgBorders>
          <w:pgNumType w:fmt="upperRoman" w:start="1"/>
          <w:cols w:space="720"/>
          <w:docGrid w:type="lines" w:linePitch="312"/>
        </w:sectPr>
      </w:pPr>
    </w:p>
    <w:p w:rsidR="00000000" w:rsidRDefault="00000000">
      <w:pPr>
        <w:pStyle w:val="1"/>
        <w:spacing w:before="312" w:after="312"/>
        <w:rPr>
          <w:szCs w:val="30"/>
        </w:rPr>
      </w:pPr>
      <w:bookmarkStart w:id="16" w:name="_Toc28670"/>
      <w:bookmarkStart w:id="17" w:name="_Toc18818"/>
      <w:bookmarkStart w:id="18" w:name="_Toc17740"/>
      <w:bookmarkStart w:id="19" w:name="_Toc15062"/>
      <w:bookmarkStart w:id="20" w:name="_Toc32290"/>
      <w:bookmarkStart w:id="21" w:name="_Toc133415890"/>
      <w:bookmarkStart w:id="22" w:name="_Toc19635"/>
      <w:bookmarkStart w:id="23" w:name="_Toc13688"/>
      <w:bookmarkStart w:id="24" w:name="_Toc18159"/>
      <w:bookmarkStart w:id="25" w:name="_Toc13157"/>
      <w:bookmarkStart w:id="26" w:name="_Toc487814584"/>
      <w:bookmarkStart w:id="27" w:name="_Toc542"/>
      <w:bookmarkStart w:id="28" w:name="_Toc3079"/>
      <w:bookmarkStart w:id="29" w:name="_Toc19214"/>
      <w:r>
        <w:rPr>
          <w:szCs w:val="30"/>
        </w:rPr>
        <w:lastRenderedPageBreak/>
        <w:t>第一章</w:t>
      </w:r>
      <w:r>
        <w:rPr>
          <w:szCs w:val="30"/>
        </w:rPr>
        <w:t xml:space="preserve"> OLED</w:t>
      </w:r>
      <w:r>
        <w:rPr>
          <w:szCs w:val="30"/>
        </w:rPr>
        <w:t>发光材料产业发展现状</w:t>
      </w:r>
      <w:bookmarkEnd w:id="16"/>
      <w:bookmarkEnd w:id="17"/>
      <w:bookmarkEnd w:id="18"/>
      <w:bookmarkEnd w:id="19"/>
      <w:bookmarkEnd w:id="20"/>
      <w:bookmarkEnd w:id="21"/>
      <w:bookmarkEnd w:id="22"/>
      <w:bookmarkEnd w:id="23"/>
      <w:bookmarkEnd w:id="24"/>
    </w:p>
    <w:p w:rsidR="00000000" w:rsidRDefault="00000000">
      <w:pPr>
        <w:pStyle w:val="2"/>
        <w:spacing w:before="156" w:after="156"/>
        <w:jc w:val="both"/>
        <w:rPr>
          <w:rFonts w:eastAsia="宋体"/>
          <w:szCs w:val="28"/>
        </w:rPr>
      </w:pPr>
      <w:bookmarkStart w:id="30" w:name="_Toc133415891"/>
      <w:bookmarkStart w:id="31" w:name="_Toc114"/>
      <w:bookmarkStart w:id="32" w:name="_Toc29984"/>
      <w:bookmarkStart w:id="33" w:name="_Toc23381"/>
      <w:bookmarkStart w:id="34" w:name="_Toc78"/>
      <w:bookmarkStart w:id="35" w:name="_Toc15718"/>
      <w:bookmarkStart w:id="36" w:name="_Toc27825"/>
      <w:bookmarkStart w:id="37" w:name="_Toc9096"/>
      <w:bookmarkStart w:id="38" w:name="_Toc9668"/>
      <w:r>
        <w:rPr>
          <w:rFonts w:eastAsia="宋体"/>
          <w:szCs w:val="28"/>
        </w:rPr>
        <w:t>1.1 OLED</w:t>
      </w:r>
      <w:r>
        <w:rPr>
          <w:rFonts w:eastAsia="宋体"/>
          <w:szCs w:val="28"/>
        </w:rPr>
        <w:t>发光材料产业发展概述</w:t>
      </w:r>
      <w:bookmarkEnd w:id="30"/>
      <w:bookmarkEnd w:id="31"/>
      <w:bookmarkEnd w:id="32"/>
      <w:bookmarkEnd w:id="33"/>
      <w:bookmarkEnd w:id="34"/>
      <w:bookmarkEnd w:id="35"/>
      <w:bookmarkEnd w:id="36"/>
      <w:bookmarkEnd w:id="37"/>
      <w:bookmarkEnd w:id="38"/>
    </w:p>
    <w:p w:rsidR="00000000" w:rsidRDefault="00000000">
      <w:pPr>
        <w:spacing w:line="440" w:lineRule="exact"/>
        <w:ind w:firstLineChars="200" w:firstLine="480"/>
        <w:rPr>
          <w:rFonts w:eastAsia="仿宋"/>
          <w:sz w:val="24"/>
        </w:rPr>
      </w:pPr>
      <w:r>
        <w:rPr>
          <w:rFonts w:eastAsia="仿宋"/>
          <w:sz w:val="24"/>
        </w:rPr>
        <w:t>OLED</w:t>
      </w:r>
      <w:r>
        <w:rPr>
          <w:rFonts w:eastAsia="仿宋"/>
          <w:sz w:val="24"/>
        </w:rPr>
        <w:t>（有机发光二极管）发光材料是新型显示技术的核心组成部分，具有自发光、高对比度、柔性可弯曲、低功耗等优势，广泛应用于智能手机、电视、车载显示、</w:t>
      </w:r>
      <w:r>
        <w:rPr>
          <w:rFonts w:eastAsia="仿宋"/>
          <w:sz w:val="24"/>
        </w:rPr>
        <w:t>AR/VR</w:t>
      </w:r>
      <w:r>
        <w:rPr>
          <w:rFonts w:eastAsia="仿宋"/>
          <w:sz w:val="24"/>
        </w:rPr>
        <w:t>等领域。近年来，随着全球显示产业向高端化发展，</w:t>
      </w:r>
      <w:r>
        <w:rPr>
          <w:rFonts w:eastAsia="仿宋"/>
          <w:sz w:val="24"/>
        </w:rPr>
        <w:t>OLED</w:t>
      </w:r>
      <w:r>
        <w:rPr>
          <w:rFonts w:eastAsia="仿宋"/>
          <w:sz w:val="24"/>
        </w:rPr>
        <w:t>技术逐步取代传统</w:t>
      </w:r>
      <w:r>
        <w:rPr>
          <w:rFonts w:eastAsia="仿宋"/>
          <w:sz w:val="24"/>
        </w:rPr>
        <w:t>LCD</w:t>
      </w:r>
      <w:r>
        <w:rPr>
          <w:rFonts w:eastAsia="仿宋"/>
          <w:sz w:val="24"/>
        </w:rPr>
        <w:t>，带动发光材料市场需求快速增长。</w:t>
      </w:r>
    </w:p>
    <w:p w:rsidR="00000000" w:rsidRDefault="00000000">
      <w:pPr>
        <w:widowControl/>
        <w:spacing w:line="440" w:lineRule="exact"/>
        <w:ind w:firstLineChars="200" w:firstLine="480"/>
        <w:rPr>
          <w:rFonts w:eastAsia="仿宋"/>
          <w:sz w:val="24"/>
        </w:rPr>
      </w:pPr>
      <w:r>
        <w:rPr>
          <w:rFonts w:eastAsia="仿宋"/>
          <w:sz w:val="24"/>
        </w:rPr>
        <w:t>根据市场研究机构的数据，</w:t>
      </w:r>
      <w:r>
        <w:rPr>
          <w:rFonts w:eastAsia="仿宋"/>
          <w:sz w:val="24"/>
        </w:rPr>
        <w:t>2023</w:t>
      </w:r>
      <w:r>
        <w:rPr>
          <w:rFonts w:eastAsia="仿宋"/>
          <w:sz w:val="24"/>
        </w:rPr>
        <w:t>年全球</w:t>
      </w:r>
      <w:r>
        <w:rPr>
          <w:rFonts w:eastAsia="仿宋"/>
          <w:sz w:val="24"/>
        </w:rPr>
        <w:t>OLED</w:t>
      </w:r>
      <w:r>
        <w:rPr>
          <w:rFonts w:eastAsia="仿宋"/>
          <w:sz w:val="24"/>
        </w:rPr>
        <w:t>发光材料市场规模约为</w:t>
      </w:r>
      <w:r>
        <w:rPr>
          <w:rFonts w:eastAsia="仿宋"/>
          <w:sz w:val="24"/>
        </w:rPr>
        <w:t>20</w:t>
      </w:r>
      <w:r>
        <w:rPr>
          <w:rFonts w:eastAsia="仿宋"/>
          <w:sz w:val="24"/>
        </w:rPr>
        <w:t>亿美元，预计到</w:t>
      </w:r>
      <w:r>
        <w:rPr>
          <w:rFonts w:eastAsia="仿宋"/>
          <w:sz w:val="24"/>
        </w:rPr>
        <w:t>2030</w:t>
      </w:r>
      <w:r>
        <w:rPr>
          <w:rFonts w:eastAsia="仿宋"/>
          <w:sz w:val="24"/>
        </w:rPr>
        <w:t>年将增长至</w:t>
      </w:r>
      <w:r>
        <w:rPr>
          <w:rFonts w:eastAsia="仿宋"/>
          <w:sz w:val="24"/>
        </w:rPr>
        <w:t>50</w:t>
      </w:r>
      <w:r>
        <w:rPr>
          <w:rFonts w:eastAsia="仿宋"/>
          <w:sz w:val="24"/>
        </w:rPr>
        <w:t>亿美元以上，年复合增长率约</w:t>
      </w:r>
      <w:r>
        <w:rPr>
          <w:rFonts w:eastAsia="仿宋"/>
          <w:sz w:val="24"/>
        </w:rPr>
        <w:t>15%</w:t>
      </w:r>
      <w:r>
        <w:rPr>
          <w:rFonts w:eastAsia="仿宋"/>
          <w:sz w:val="24"/>
        </w:rPr>
        <w:t>。市场增长的主要驱动力来自：智能手机应用：占据</w:t>
      </w:r>
      <w:r>
        <w:rPr>
          <w:rFonts w:eastAsia="仿宋"/>
          <w:sz w:val="24"/>
        </w:rPr>
        <w:t>OLED</w:t>
      </w:r>
      <w:r>
        <w:rPr>
          <w:rFonts w:eastAsia="仿宋"/>
          <w:sz w:val="24"/>
        </w:rPr>
        <w:t>材料需求的</w:t>
      </w:r>
      <w:r>
        <w:rPr>
          <w:rFonts w:eastAsia="仿宋"/>
          <w:sz w:val="24"/>
        </w:rPr>
        <w:t>70%</w:t>
      </w:r>
      <w:r>
        <w:rPr>
          <w:rFonts w:eastAsia="仿宋"/>
          <w:sz w:val="24"/>
        </w:rPr>
        <w:t>以上；电视应用：大尺寸</w:t>
      </w:r>
      <w:r>
        <w:rPr>
          <w:rFonts w:eastAsia="仿宋"/>
          <w:sz w:val="24"/>
        </w:rPr>
        <w:t>OLED</w:t>
      </w:r>
      <w:r>
        <w:rPr>
          <w:rFonts w:eastAsia="仿宋"/>
          <w:sz w:val="24"/>
        </w:rPr>
        <w:t>电视渗透率持续提升；车载显示：新能源汽车对高端显示需求增长；可穿戴设备：智能手表、</w:t>
      </w:r>
      <w:r>
        <w:rPr>
          <w:rFonts w:eastAsia="仿宋"/>
          <w:sz w:val="24"/>
        </w:rPr>
        <w:t>AR/VR</w:t>
      </w:r>
      <w:r>
        <w:rPr>
          <w:rFonts w:eastAsia="仿宋"/>
          <w:sz w:val="24"/>
        </w:rPr>
        <w:t>等新兴应用；从区域格局来看：欧美企业：在核心专利和高端材料方面占据优势；日韩企业：在材料量产和工艺技术方面领先；中国企业：正在加速追赶，部分材料实现国产化。</w:t>
      </w:r>
    </w:p>
    <w:p w:rsidR="00000000" w:rsidRDefault="00000000">
      <w:pPr>
        <w:pStyle w:val="3"/>
        <w:spacing w:beforeLines="50" w:before="156" w:afterLines="50" w:after="156" w:line="440" w:lineRule="exact"/>
        <w:rPr>
          <w:rFonts w:eastAsia="楷体"/>
          <w:sz w:val="28"/>
        </w:rPr>
      </w:pPr>
      <w:bookmarkStart w:id="39" w:name="_Toc27036"/>
      <w:bookmarkStart w:id="40" w:name="_Toc6997"/>
      <w:bookmarkStart w:id="41" w:name="_Toc9913"/>
      <w:bookmarkStart w:id="42" w:name="_Toc27309"/>
      <w:bookmarkStart w:id="43" w:name="_Toc133415892"/>
      <w:bookmarkStart w:id="44" w:name="_Toc14189"/>
      <w:bookmarkStart w:id="45" w:name="_Toc3288"/>
      <w:bookmarkStart w:id="46" w:name="_Toc1702"/>
      <w:bookmarkStart w:id="47" w:name="_Toc23821"/>
      <w:r>
        <w:rPr>
          <w:rFonts w:eastAsia="楷体"/>
          <w:sz w:val="28"/>
        </w:rPr>
        <w:t>1.1.1 OLED</w:t>
      </w:r>
      <w:r>
        <w:rPr>
          <w:rFonts w:eastAsia="楷体"/>
          <w:sz w:val="28"/>
        </w:rPr>
        <w:t>发光材料产业</w:t>
      </w:r>
      <w:bookmarkEnd w:id="43"/>
      <w:bookmarkEnd w:id="44"/>
      <w:bookmarkEnd w:id="45"/>
      <w:r>
        <w:rPr>
          <w:rFonts w:eastAsia="楷体"/>
          <w:sz w:val="28"/>
        </w:rPr>
        <w:t>市场规模</w:t>
      </w:r>
      <w:bookmarkEnd w:id="39"/>
      <w:bookmarkEnd w:id="40"/>
      <w:bookmarkEnd w:id="41"/>
      <w:bookmarkEnd w:id="42"/>
      <w:bookmarkEnd w:id="46"/>
      <w:bookmarkEnd w:id="47"/>
    </w:p>
    <w:p w:rsidR="00000000" w:rsidRDefault="00000000">
      <w:pPr>
        <w:spacing w:line="440" w:lineRule="exact"/>
        <w:ind w:firstLineChars="200" w:firstLine="480"/>
        <w:rPr>
          <w:rFonts w:eastAsia="仿宋"/>
          <w:sz w:val="24"/>
        </w:rPr>
      </w:pPr>
      <w:r>
        <w:rPr>
          <w:rFonts w:eastAsia="仿宋"/>
          <w:sz w:val="24"/>
        </w:rPr>
        <w:t>OLED</w:t>
      </w:r>
      <w:r>
        <w:rPr>
          <w:rFonts w:eastAsia="仿宋"/>
          <w:sz w:val="24"/>
        </w:rPr>
        <w:t>发光材料产业近年来呈现快速扩张态势，市场规模持续攀升。</w:t>
      </w:r>
      <w:r>
        <w:rPr>
          <w:rFonts w:eastAsia="仿宋"/>
          <w:sz w:val="24"/>
        </w:rPr>
        <w:t>2023</w:t>
      </w:r>
      <w:r>
        <w:rPr>
          <w:rFonts w:eastAsia="仿宋"/>
          <w:sz w:val="24"/>
        </w:rPr>
        <w:t>年全球市场规模约为</w:t>
      </w:r>
      <w:r>
        <w:rPr>
          <w:rFonts w:eastAsia="仿宋"/>
          <w:sz w:val="24"/>
        </w:rPr>
        <w:t>22-25</w:t>
      </w:r>
      <w:r>
        <w:rPr>
          <w:rFonts w:eastAsia="仿宋"/>
          <w:sz w:val="24"/>
        </w:rPr>
        <w:t>亿美元，预计到</w:t>
      </w:r>
      <w:r>
        <w:rPr>
          <w:rFonts w:eastAsia="仿宋"/>
          <w:sz w:val="24"/>
        </w:rPr>
        <w:t>2030</w:t>
      </w:r>
      <w:r>
        <w:rPr>
          <w:rFonts w:eastAsia="仿宋"/>
          <w:sz w:val="24"/>
        </w:rPr>
        <w:t>年将增长至</w:t>
      </w:r>
      <w:r>
        <w:rPr>
          <w:rFonts w:eastAsia="仿宋"/>
          <w:sz w:val="24"/>
        </w:rPr>
        <w:t>58-65</w:t>
      </w:r>
      <w:r>
        <w:rPr>
          <w:rFonts w:eastAsia="仿宋"/>
          <w:sz w:val="24"/>
        </w:rPr>
        <w:t>亿美元，年复合增长率达</w:t>
      </w:r>
      <w:r>
        <w:rPr>
          <w:rFonts w:eastAsia="仿宋"/>
          <w:sz w:val="24"/>
        </w:rPr>
        <w:t>14.7%</w:t>
      </w:r>
      <w:r>
        <w:rPr>
          <w:rFonts w:eastAsia="仿宋"/>
          <w:sz w:val="24"/>
        </w:rPr>
        <w:t>。从应用领域来看，智能手机仍是最大需求端，占据</w:t>
      </w:r>
      <w:r>
        <w:rPr>
          <w:rFonts w:eastAsia="仿宋"/>
          <w:sz w:val="24"/>
        </w:rPr>
        <w:t>68%</w:t>
      </w:r>
      <w:r>
        <w:rPr>
          <w:rFonts w:eastAsia="仿宋"/>
          <w:sz w:val="24"/>
        </w:rPr>
        <w:t>的市场份额，但电视和车载显示增长迅猛，年增速分别达到</w:t>
      </w:r>
      <w:r>
        <w:rPr>
          <w:rFonts w:eastAsia="仿宋"/>
          <w:sz w:val="24"/>
        </w:rPr>
        <w:t>21.5%</w:t>
      </w:r>
      <w:r>
        <w:rPr>
          <w:rFonts w:eastAsia="仿宋"/>
          <w:sz w:val="24"/>
        </w:rPr>
        <w:t>和</w:t>
      </w:r>
      <w:r>
        <w:rPr>
          <w:rFonts w:eastAsia="仿宋"/>
          <w:sz w:val="24"/>
        </w:rPr>
        <w:t>28.3%</w:t>
      </w:r>
      <w:r>
        <w:rPr>
          <w:rFonts w:eastAsia="仿宋"/>
          <w:sz w:val="24"/>
        </w:rPr>
        <w:t>。区域分布方面，东亚地区集中了全球</w:t>
      </w:r>
      <w:r>
        <w:rPr>
          <w:rFonts w:eastAsia="仿宋"/>
          <w:sz w:val="24"/>
        </w:rPr>
        <w:t>72%</w:t>
      </w:r>
      <w:r>
        <w:rPr>
          <w:rFonts w:eastAsia="仿宋"/>
          <w:sz w:val="24"/>
        </w:rPr>
        <w:t>的需求，其中韩国企业在磷光材料供应方面占据</w:t>
      </w:r>
      <w:r>
        <w:rPr>
          <w:rFonts w:eastAsia="仿宋"/>
          <w:sz w:val="24"/>
        </w:rPr>
        <w:t>43%</w:t>
      </w:r>
      <w:r>
        <w:rPr>
          <w:rFonts w:eastAsia="仿宋"/>
          <w:sz w:val="24"/>
        </w:rPr>
        <w:t>的市场份额，日本企业在蓝色荧光材料领域保持</w:t>
      </w:r>
      <w:r>
        <w:rPr>
          <w:rFonts w:eastAsia="仿宋"/>
          <w:sz w:val="24"/>
        </w:rPr>
        <w:t>31%</w:t>
      </w:r>
      <w:r>
        <w:rPr>
          <w:rFonts w:eastAsia="仿宋"/>
          <w:sz w:val="24"/>
        </w:rPr>
        <w:t>的占有率，而美国</w:t>
      </w:r>
      <w:r>
        <w:rPr>
          <w:rFonts w:eastAsia="仿宋"/>
          <w:sz w:val="24"/>
        </w:rPr>
        <w:t>UDC</w:t>
      </w:r>
      <w:r>
        <w:rPr>
          <w:rFonts w:eastAsia="仿宋"/>
          <w:sz w:val="24"/>
        </w:rPr>
        <w:t>公司则通过专利授权在红光磷光材料市场形成垄断。中国厂商虽然当前仅占</w:t>
      </w:r>
      <w:r>
        <w:rPr>
          <w:rFonts w:eastAsia="仿宋"/>
          <w:sz w:val="24"/>
        </w:rPr>
        <w:t>7%</w:t>
      </w:r>
      <w:r>
        <w:rPr>
          <w:rFonts w:eastAsia="仿宋"/>
          <w:sz w:val="24"/>
        </w:rPr>
        <w:t>的市场，但在政策支持下，预计</w:t>
      </w:r>
      <w:r>
        <w:rPr>
          <w:rFonts w:eastAsia="仿宋"/>
          <w:sz w:val="24"/>
        </w:rPr>
        <w:t>2030</w:t>
      </w:r>
      <w:r>
        <w:rPr>
          <w:rFonts w:eastAsia="仿宋"/>
          <w:sz w:val="24"/>
        </w:rPr>
        <w:t>年份额将提升至</w:t>
      </w:r>
      <w:r>
        <w:rPr>
          <w:rFonts w:eastAsia="仿宋"/>
          <w:sz w:val="24"/>
        </w:rPr>
        <w:t>15%</w:t>
      </w:r>
      <w:r>
        <w:rPr>
          <w:rFonts w:eastAsia="仿宋"/>
          <w:sz w:val="24"/>
        </w:rPr>
        <w:t>。</w:t>
      </w:r>
    </w:p>
    <w:p w:rsidR="00000000" w:rsidRDefault="00000000">
      <w:pPr>
        <w:pStyle w:val="3"/>
        <w:spacing w:beforeLines="50" w:before="156" w:afterLines="50" w:after="156" w:line="440" w:lineRule="exact"/>
        <w:rPr>
          <w:rFonts w:eastAsia="楷体"/>
          <w:sz w:val="28"/>
        </w:rPr>
      </w:pPr>
      <w:bookmarkStart w:id="48" w:name="_Toc16457"/>
      <w:bookmarkStart w:id="49" w:name="_Toc13625"/>
      <w:bookmarkStart w:id="50" w:name="_Toc26016"/>
      <w:bookmarkStart w:id="51" w:name="_Toc1987"/>
      <w:bookmarkStart w:id="52" w:name="_Toc1683"/>
      <w:bookmarkStart w:id="53" w:name="_Toc26990"/>
      <w:r>
        <w:rPr>
          <w:rFonts w:eastAsia="楷体"/>
          <w:sz w:val="28"/>
        </w:rPr>
        <w:t>1.1.2 OLED</w:t>
      </w:r>
      <w:r>
        <w:rPr>
          <w:rFonts w:eastAsia="楷体"/>
          <w:sz w:val="28"/>
        </w:rPr>
        <w:t>发光材料产业竞争格局</w:t>
      </w:r>
      <w:bookmarkEnd w:id="48"/>
      <w:bookmarkEnd w:id="49"/>
      <w:bookmarkEnd w:id="50"/>
      <w:bookmarkEnd w:id="51"/>
      <w:bookmarkEnd w:id="52"/>
      <w:bookmarkEnd w:id="53"/>
    </w:p>
    <w:p w:rsidR="00000000" w:rsidRDefault="00000000">
      <w:pPr>
        <w:spacing w:line="440" w:lineRule="exact"/>
        <w:ind w:firstLineChars="200" w:firstLine="480"/>
        <w:rPr>
          <w:rFonts w:eastAsia="仿宋"/>
          <w:sz w:val="24"/>
        </w:rPr>
      </w:pPr>
      <w:r>
        <w:rPr>
          <w:rFonts w:eastAsia="仿宋"/>
          <w:sz w:val="24"/>
        </w:rPr>
        <w:t>OLED</w:t>
      </w:r>
      <w:r>
        <w:rPr>
          <w:rFonts w:eastAsia="仿宋"/>
          <w:sz w:val="24"/>
        </w:rPr>
        <w:t>发光材料作为新型显示技术的核心组成部分，近年来随着全球显示产业向高端化发展而快速成长。当前全球市场规模约</w:t>
      </w:r>
      <w:r>
        <w:rPr>
          <w:rFonts w:eastAsia="仿宋"/>
          <w:sz w:val="24"/>
        </w:rPr>
        <w:t>25</w:t>
      </w:r>
      <w:r>
        <w:rPr>
          <w:rFonts w:eastAsia="仿宋"/>
          <w:sz w:val="24"/>
        </w:rPr>
        <w:t>亿美元，预计</w:t>
      </w:r>
      <w:r>
        <w:rPr>
          <w:rFonts w:eastAsia="仿宋"/>
          <w:sz w:val="24"/>
        </w:rPr>
        <w:t>2025</w:t>
      </w:r>
      <w:r>
        <w:rPr>
          <w:rFonts w:eastAsia="仿宋"/>
          <w:sz w:val="24"/>
        </w:rPr>
        <w:t>年将突破</w:t>
      </w:r>
      <w:r>
        <w:rPr>
          <w:rFonts w:eastAsia="仿宋"/>
          <w:sz w:val="24"/>
        </w:rPr>
        <w:t>40</w:t>
      </w:r>
      <w:r>
        <w:rPr>
          <w:rFonts w:eastAsia="仿宋"/>
          <w:sz w:val="24"/>
        </w:rPr>
        <w:t>亿美元，年复合增长率达</w:t>
      </w:r>
      <w:r>
        <w:rPr>
          <w:rFonts w:eastAsia="仿宋"/>
          <w:sz w:val="24"/>
        </w:rPr>
        <w:t>15%</w:t>
      </w:r>
      <w:r>
        <w:rPr>
          <w:rFonts w:eastAsia="仿宋"/>
          <w:sz w:val="24"/>
        </w:rPr>
        <w:t>以上。该产业具有典型的技术密集和资本密集特征，核心技术被少数国际巨头垄断，行业进入壁垒较高。从技术路线来看，磷光材料占据主导地位（约</w:t>
      </w:r>
      <w:r>
        <w:rPr>
          <w:rFonts w:eastAsia="仿宋"/>
          <w:sz w:val="24"/>
        </w:rPr>
        <w:t>60%</w:t>
      </w:r>
      <w:r>
        <w:rPr>
          <w:rFonts w:eastAsia="仿宋"/>
          <w:sz w:val="24"/>
        </w:rPr>
        <w:lastRenderedPageBreak/>
        <w:t>市场份额），但热活化延迟荧光（</w:t>
      </w:r>
      <w:r>
        <w:rPr>
          <w:rFonts w:eastAsia="仿宋"/>
          <w:sz w:val="24"/>
        </w:rPr>
        <w:t>TADF</w:t>
      </w:r>
      <w:r>
        <w:rPr>
          <w:rFonts w:eastAsia="仿宋"/>
          <w:sz w:val="24"/>
        </w:rPr>
        <w:t>）等新型材料增长迅猛，年增速超过</w:t>
      </w:r>
      <w:r>
        <w:rPr>
          <w:rFonts w:eastAsia="仿宋"/>
          <w:sz w:val="24"/>
        </w:rPr>
        <w:t>30%</w:t>
      </w:r>
      <w:r>
        <w:rPr>
          <w:rFonts w:eastAsia="仿宋"/>
          <w:sz w:val="24"/>
        </w:rPr>
        <w:t>。应用领域正从智能手机向电视、车载显示等大尺寸市场快速拓展，特别是车载</w:t>
      </w:r>
      <w:r>
        <w:rPr>
          <w:rFonts w:eastAsia="仿宋"/>
          <w:sz w:val="24"/>
        </w:rPr>
        <w:t>OLED</w:t>
      </w:r>
      <w:r>
        <w:rPr>
          <w:rFonts w:eastAsia="仿宋"/>
          <w:sz w:val="24"/>
        </w:rPr>
        <w:t>显示市场预计</w:t>
      </w:r>
      <w:r>
        <w:rPr>
          <w:rFonts w:eastAsia="仿宋"/>
          <w:sz w:val="24"/>
        </w:rPr>
        <w:t>2023-2028</w:t>
      </w:r>
      <w:r>
        <w:rPr>
          <w:rFonts w:eastAsia="仿宋"/>
          <w:sz w:val="24"/>
        </w:rPr>
        <w:t>年将保持</w:t>
      </w:r>
      <w:r>
        <w:rPr>
          <w:rFonts w:eastAsia="仿宋"/>
          <w:sz w:val="24"/>
        </w:rPr>
        <w:t>25%</w:t>
      </w:r>
      <w:r>
        <w:rPr>
          <w:rFonts w:eastAsia="仿宋"/>
          <w:sz w:val="24"/>
        </w:rPr>
        <w:t>以上的高速增长。</w:t>
      </w:r>
    </w:p>
    <w:p w:rsidR="00000000" w:rsidRDefault="00000000">
      <w:pPr>
        <w:spacing w:line="440" w:lineRule="exact"/>
        <w:ind w:firstLineChars="200" w:firstLine="480"/>
        <w:rPr>
          <w:rFonts w:eastAsia="仿宋"/>
          <w:sz w:val="24"/>
        </w:rPr>
      </w:pPr>
      <w:r>
        <w:rPr>
          <w:rFonts w:eastAsia="仿宋"/>
          <w:sz w:val="24"/>
        </w:rPr>
        <w:t>从区域竞争格局来看，全球</w:t>
      </w:r>
      <w:r>
        <w:rPr>
          <w:rFonts w:eastAsia="仿宋"/>
          <w:sz w:val="24"/>
        </w:rPr>
        <w:t>OLED</w:t>
      </w:r>
      <w:r>
        <w:rPr>
          <w:rFonts w:eastAsia="仿宋"/>
          <w:sz w:val="24"/>
        </w:rPr>
        <w:t>发光材料产业呈现明显的区域集聚特征。东亚地区形成以日韩中为核心的产业三角：韩国依托三星显示、</w:t>
      </w:r>
      <w:r>
        <w:rPr>
          <w:rFonts w:eastAsia="仿宋"/>
          <w:sz w:val="24"/>
        </w:rPr>
        <w:t>LG Display</w:t>
      </w:r>
      <w:r>
        <w:rPr>
          <w:rFonts w:eastAsia="仿宋"/>
          <w:sz w:val="24"/>
        </w:rPr>
        <w:t>等面板巨头，建立了完整的产业链，尤其在磷光材料量产工艺方面领先全球；日本企业在基础材料和关键设备领域优势突出，掌握着多项核心专利技术；中国则已成为全球最大的</w:t>
      </w:r>
      <w:r>
        <w:rPr>
          <w:rFonts w:eastAsia="仿宋"/>
          <w:sz w:val="24"/>
        </w:rPr>
        <w:t>OLED</w:t>
      </w:r>
      <w:r>
        <w:rPr>
          <w:rFonts w:eastAsia="仿宋"/>
          <w:sz w:val="24"/>
        </w:rPr>
        <w:t>中间体供应国，市场份额超过</w:t>
      </w:r>
      <w:r>
        <w:rPr>
          <w:rFonts w:eastAsia="仿宋"/>
          <w:sz w:val="24"/>
        </w:rPr>
        <w:t>60%</w:t>
      </w:r>
      <w:r>
        <w:rPr>
          <w:rFonts w:eastAsia="仿宋"/>
          <w:sz w:val="24"/>
        </w:rPr>
        <w:t>，并在终端材料领域加速突破。欧美地区则以美国</w:t>
      </w:r>
      <w:r>
        <w:rPr>
          <w:rFonts w:eastAsia="仿宋"/>
          <w:sz w:val="24"/>
        </w:rPr>
        <w:t>UDC</w:t>
      </w:r>
      <w:r>
        <w:rPr>
          <w:rFonts w:eastAsia="仿宋"/>
          <w:sz w:val="24"/>
        </w:rPr>
        <w:t>和德国默克为代表，前者通过专利授权模式获取高额利润，后者在传输层材料市场占据主导地位。值得注意的是，近年来中国企业在政策支持下快速崛起，正逐步改变全球产业格局。</w:t>
      </w:r>
    </w:p>
    <w:p w:rsidR="00000000" w:rsidRDefault="00000000">
      <w:pPr>
        <w:spacing w:line="440" w:lineRule="exact"/>
        <w:ind w:firstLineChars="200" w:firstLine="480"/>
        <w:rPr>
          <w:rFonts w:eastAsia="仿宋"/>
          <w:sz w:val="24"/>
        </w:rPr>
      </w:pPr>
      <w:r>
        <w:rPr>
          <w:rFonts w:eastAsia="仿宋"/>
          <w:sz w:val="24"/>
        </w:rPr>
        <w:t>在企业竞争层面，国际巨头与后起之秀展开激烈角逐。国际阵营中，美国</w:t>
      </w:r>
      <w:r>
        <w:rPr>
          <w:rFonts w:eastAsia="仿宋"/>
          <w:sz w:val="24"/>
        </w:rPr>
        <w:t>UDC</w:t>
      </w:r>
      <w:r>
        <w:rPr>
          <w:rFonts w:eastAsia="仿宋"/>
          <w:sz w:val="24"/>
        </w:rPr>
        <w:t>凭借磷光材料专利垄断，毛利率长期维持在</w:t>
      </w:r>
      <w:r>
        <w:rPr>
          <w:rFonts w:eastAsia="仿宋"/>
          <w:sz w:val="24"/>
        </w:rPr>
        <w:t>70%</w:t>
      </w:r>
      <w:r>
        <w:rPr>
          <w:rFonts w:eastAsia="仿宋"/>
          <w:sz w:val="24"/>
        </w:rPr>
        <w:t>以上；日本出光兴产在蓝光材料领域建立技术壁垒，市占率保持第一；德国默克则在传输层材料市场占据</w:t>
      </w:r>
      <w:r>
        <w:rPr>
          <w:rFonts w:eastAsia="仿宋"/>
          <w:sz w:val="24"/>
        </w:rPr>
        <w:t>35%</w:t>
      </w:r>
      <w:r>
        <w:rPr>
          <w:rFonts w:eastAsia="仿宋"/>
          <w:sz w:val="24"/>
        </w:rPr>
        <w:t>以上份额。中国企业的追赶势头强劲：莱特光电成为国内首家实现终端材料量产的企业，其自主专利的红光材料性能接近国际水平；奥来德布局全产业链发展，在主体材料领域取得突破；万润股份则成长为全球最大的</w:t>
      </w:r>
      <w:r>
        <w:rPr>
          <w:rFonts w:eastAsia="仿宋"/>
          <w:sz w:val="24"/>
        </w:rPr>
        <w:t>OLED</w:t>
      </w:r>
      <w:r>
        <w:rPr>
          <w:rFonts w:eastAsia="仿宋"/>
          <w:sz w:val="24"/>
        </w:rPr>
        <w:t>中间体供应商。这些企业正通过差异化竞争策略，逐步打破国际巨头的市场垄断。</w:t>
      </w:r>
    </w:p>
    <w:p w:rsidR="00000000" w:rsidRDefault="00000000">
      <w:pPr>
        <w:pStyle w:val="3"/>
        <w:spacing w:beforeLines="50" w:before="156" w:afterLines="50" w:after="156" w:line="440" w:lineRule="exact"/>
        <w:rPr>
          <w:rFonts w:eastAsia="楷体"/>
          <w:sz w:val="28"/>
        </w:rPr>
      </w:pPr>
      <w:bookmarkStart w:id="54" w:name="_Toc10496"/>
      <w:bookmarkStart w:id="55" w:name="_Toc21613"/>
      <w:bookmarkStart w:id="56" w:name="_Toc30197"/>
      <w:bookmarkStart w:id="57" w:name="_Toc19181"/>
      <w:bookmarkStart w:id="58" w:name="_Toc9252"/>
      <w:bookmarkStart w:id="59" w:name="_Toc9356"/>
      <w:r>
        <w:rPr>
          <w:rFonts w:eastAsia="楷体"/>
          <w:sz w:val="28"/>
        </w:rPr>
        <w:t>1.1.3 OLED</w:t>
      </w:r>
      <w:r>
        <w:rPr>
          <w:rFonts w:eastAsia="楷体"/>
          <w:sz w:val="28"/>
        </w:rPr>
        <w:t>发光材料产业市场需求</w:t>
      </w:r>
      <w:bookmarkEnd w:id="54"/>
      <w:bookmarkEnd w:id="55"/>
      <w:bookmarkEnd w:id="56"/>
      <w:bookmarkEnd w:id="57"/>
      <w:bookmarkEnd w:id="58"/>
      <w:bookmarkEnd w:id="59"/>
    </w:p>
    <w:p w:rsidR="00000000" w:rsidRDefault="00000000">
      <w:pPr>
        <w:spacing w:line="440" w:lineRule="exact"/>
        <w:ind w:firstLineChars="200" w:firstLine="480"/>
        <w:rPr>
          <w:rFonts w:eastAsia="仿宋"/>
          <w:sz w:val="24"/>
        </w:rPr>
      </w:pPr>
      <w:r>
        <w:rPr>
          <w:rFonts w:eastAsia="仿宋"/>
          <w:sz w:val="24"/>
        </w:rPr>
        <w:t>当前全球</w:t>
      </w:r>
      <w:r>
        <w:rPr>
          <w:rFonts w:eastAsia="仿宋"/>
          <w:sz w:val="24"/>
        </w:rPr>
        <w:t>OLED</w:t>
      </w:r>
      <w:r>
        <w:rPr>
          <w:rFonts w:eastAsia="仿宋"/>
          <w:sz w:val="24"/>
        </w:rPr>
        <w:t>发光材料市场需求呈现快速扩张态势，主要受三大核心应用领域驱动。智能手机作为最大的需求来源，</w:t>
      </w:r>
      <w:r>
        <w:rPr>
          <w:rFonts w:eastAsia="仿宋"/>
          <w:sz w:val="24"/>
        </w:rPr>
        <w:t>2023</w:t>
      </w:r>
      <w:r>
        <w:rPr>
          <w:rFonts w:eastAsia="仿宋"/>
          <w:sz w:val="24"/>
        </w:rPr>
        <w:t>年占据整体市场</w:t>
      </w:r>
      <w:r>
        <w:rPr>
          <w:rFonts w:eastAsia="仿宋"/>
          <w:sz w:val="24"/>
        </w:rPr>
        <w:t>68%</w:t>
      </w:r>
      <w:r>
        <w:rPr>
          <w:rFonts w:eastAsia="仿宋"/>
          <w:sz w:val="24"/>
        </w:rPr>
        <w:t>的份额，年需求量约</w:t>
      </w:r>
      <w:r>
        <w:rPr>
          <w:rFonts w:eastAsia="仿宋"/>
          <w:sz w:val="24"/>
        </w:rPr>
        <w:t>15</w:t>
      </w:r>
      <w:r>
        <w:rPr>
          <w:rFonts w:eastAsia="仿宋"/>
          <w:sz w:val="24"/>
        </w:rPr>
        <w:t>吨，其中柔性</w:t>
      </w:r>
      <w:r>
        <w:rPr>
          <w:rFonts w:eastAsia="仿宋"/>
          <w:sz w:val="24"/>
        </w:rPr>
        <w:t>OLED</w:t>
      </w:r>
      <w:r>
        <w:rPr>
          <w:rFonts w:eastAsia="仿宋"/>
          <w:sz w:val="24"/>
        </w:rPr>
        <w:t>材料需求增速尤为显著。随着各大手机厂商加速推进高端机型</w:t>
      </w:r>
      <w:r>
        <w:rPr>
          <w:rFonts w:eastAsia="仿宋"/>
          <w:sz w:val="24"/>
        </w:rPr>
        <w:t>OLED</w:t>
      </w:r>
      <w:r>
        <w:rPr>
          <w:rFonts w:eastAsia="仿宋"/>
          <w:sz w:val="24"/>
        </w:rPr>
        <w:t>屏幕渗透，预计到</w:t>
      </w:r>
      <w:r>
        <w:rPr>
          <w:rFonts w:eastAsia="仿宋"/>
          <w:sz w:val="24"/>
        </w:rPr>
        <w:t>2025</w:t>
      </w:r>
      <w:r>
        <w:rPr>
          <w:rFonts w:eastAsia="仿宋"/>
          <w:sz w:val="24"/>
        </w:rPr>
        <w:t>年智能手机用</w:t>
      </w:r>
      <w:r>
        <w:rPr>
          <w:rFonts w:eastAsia="仿宋"/>
          <w:sz w:val="24"/>
        </w:rPr>
        <w:t>OLED</w:t>
      </w:r>
      <w:r>
        <w:rPr>
          <w:rFonts w:eastAsia="仿宋"/>
          <w:sz w:val="24"/>
        </w:rPr>
        <w:t>材料市场规模将突破</w:t>
      </w:r>
      <w:r>
        <w:rPr>
          <w:rFonts w:eastAsia="仿宋"/>
          <w:sz w:val="24"/>
        </w:rPr>
        <w:t>30</w:t>
      </w:r>
      <w:r>
        <w:rPr>
          <w:rFonts w:eastAsia="仿宋"/>
          <w:sz w:val="24"/>
        </w:rPr>
        <w:t>亿美元。特别值得注意的是，折叠屏手机的快速普及为</w:t>
      </w:r>
      <w:r>
        <w:rPr>
          <w:rFonts w:eastAsia="仿宋"/>
          <w:sz w:val="24"/>
        </w:rPr>
        <w:t>OLED</w:t>
      </w:r>
      <w:r>
        <w:rPr>
          <w:rFonts w:eastAsia="仿宋"/>
          <w:sz w:val="24"/>
        </w:rPr>
        <w:t>材料带来新的增长点，</w:t>
      </w:r>
      <w:r>
        <w:rPr>
          <w:rFonts w:eastAsia="仿宋"/>
          <w:sz w:val="24"/>
        </w:rPr>
        <w:t>2023</w:t>
      </w:r>
      <w:r>
        <w:rPr>
          <w:rFonts w:eastAsia="仿宋"/>
          <w:sz w:val="24"/>
        </w:rPr>
        <w:t>年全球折叠屏手机出货量同比增长</w:t>
      </w:r>
      <w:r>
        <w:rPr>
          <w:rFonts w:eastAsia="仿宋"/>
          <w:sz w:val="24"/>
        </w:rPr>
        <w:t>50%</w:t>
      </w:r>
      <w:r>
        <w:rPr>
          <w:rFonts w:eastAsia="仿宋"/>
          <w:sz w:val="24"/>
        </w:rPr>
        <w:t>以上，其使用的超薄柔性材料单价较传统刚性材料高出</w:t>
      </w:r>
      <w:r>
        <w:rPr>
          <w:rFonts w:eastAsia="仿宋"/>
          <w:sz w:val="24"/>
        </w:rPr>
        <w:t>30-40%</w:t>
      </w:r>
      <w:r>
        <w:rPr>
          <w:rFonts w:eastAsia="仿宋"/>
          <w:sz w:val="24"/>
        </w:rPr>
        <w:t>。</w:t>
      </w:r>
    </w:p>
    <w:p w:rsidR="00000000" w:rsidRDefault="00000000">
      <w:pPr>
        <w:spacing w:line="440" w:lineRule="exact"/>
        <w:ind w:firstLineChars="200" w:firstLine="480"/>
        <w:rPr>
          <w:rFonts w:eastAsia="仿宋"/>
          <w:sz w:val="24"/>
        </w:rPr>
      </w:pPr>
      <w:r>
        <w:rPr>
          <w:rFonts w:eastAsia="仿宋"/>
          <w:sz w:val="24"/>
        </w:rPr>
        <w:t>从区域需求分布来看，亚洲地区占据全球需求的</w:t>
      </w:r>
      <w:r>
        <w:rPr>
          <w:rFonts w:eastAsia="仿宋"/>
          <w:sz w:val="24"/>
        </w:rPr>
        <w:t>75%</w:t>
      </w:r>
      <w:r>
        <w:rPr>
          <w:rFonts w:eastAsia="仿宋"/>
          <w:sz w:val="24"/>
        </w:rPr>
        <w:t>以上，其中中国市场的增长速度最为亮眼。受益于国内面板厂商的产能扩张和终端品牌崛起，中国</w:t>
      </w:r>
      <w:r>
        <w:rPr>
          <w:rFonts w:eastAsia="仿宋"/>
          <w:sz w:val="24"/>
        </w:rPr>
        <w:t>OLED</w:t>
      </w:r>
      <w:r>
        <w:rPr>
          <w:rFonts w:eastAsia="仿宋"/>
          <w:sz w:val="24"/>
        </w:rPr>
        <w:t>材料需求年增速保持在</w:t>
      </w:r>
      <w:r>
        <w:rPr>
          <w:rFonts w:eastAsia="仿宋"/>
          <w:sz w:val="24"/>
        </w:rPr>
        <w:t>25%</w:t>
      </w:r>
      <w:r>
        <w:rPr>
          <w:rFonts w:eastAsia="仿宋"/>
          <w:sz w:val="24"/>
        </w:rPr>
        <w:t>左右，远高于全球平均水平。</w:t>
      </w:r>
      <w:r>
        <w:rPr>
          <w:rFonts w:eastAsia="仿宋"/>
          <w:sz w:val="24"/>
        </w:rPr>
        <w:t>2023</w:t>
      </w:r>
      <w:r>
        <w:rPr>
          <w:rFonts w:eastAsia="仿宋"/>
          <w:sz w:val="24"/>
        </w:rPr>
        <w:t>年中国大陆</w:t>
      </w:r>
      <w:r>
        <w:rPr>
          <w:rFonts w:eastAsia="仿宋"/>
          <w:sz w:val="24"/>
        </w:rPr>
        <w:t>OLED</w:t>
      </w:r>
      <w:r>
        <w:rPr>
          <w:rFonts w:eastAsia="仿宋"/>
          <w:sz w:val="24"/>
        </w:rPr>
        <w:t>材料市场规模达</w:t>
      </w:r>
      <w:r>
        <w:rPr>
          <w:rFonts w:eastAsia="仿宋"/>
          <w:sz w:val="24"/>
        </w:rPr>
        <w:t>4.5</w:t>
      </w:r>
      <w:r>
        <w:rPr>
          <w:rFonts w:eastAsia="仿宋"/>
          <w:sz w:val="24"/>
        </w:rPr>
        <w:t>亿美元，预计</w:t>
      </w:r>
      <w:r>
        <w:rPr>
          <w:rFonts w:eastAsia="仿宋"/>
          <w:sz w:val="24"/>
        </w:rPr>
        <w:t>2025</w:t>
      </w:r>
      <w:r>
        <w:rPr>
          <w:rFonts w:eastAsia="仿宋"/>
          <w:sz w:val="24"/>
        </w:rPr>
        <w:t>年将超过</w:t>
      </w:r>
      <w:r>
        <w:rPr>
          <w:rFonts w:eastAsia="仿宋"/>
          <w:sz w:val="24"/>
        </w:rPr>
        <w:t>8</w:t>
      </w:r>
      <w:r>
        <w:rPr>
          <w:rFonts w:eastAsia="仿宋"/>
          <w:sz w:val="24"/>
        </w:rPr>
        <w:t>亿美元。欧洲和北美市场虽然增速相对平缓，但对高端材料的需求更为旺盛，材料价格溢价可达</w:t>
      </w:r>
      <w:r>
        <w:rPr>
          <w:rFonts w:eastAsia="仿宋"/>
          <w:sz w:val="24"/>
        </w:rPr>
        <w:t>20-30%</w:t>
      </w:r>
      <w:r>
        <w:rPr>
          <w:rFonts w:eastAsia="仿宋"/>
          <w:sz w:val="24"/>
        </w:rPr>
        <w:t>。</w:t>
      </w:r>
    </w:p>
    <w:p w:rsidR="00000000" w:rsidRDefault="00000000">
      <w:pPr>
        <w:spacing w:line="440" w:lineRule="exact"/>
        <w:ind w:firstLineChars="200" w:firstLine="480"/>
        <w:rPr>
          <w:rFonts w:eastAsia="仿宋"/>
          <w:sz w:val="24"/>
        </w:rPr>
      </w:pPr>
      <w:r>
        <w:rPr>
          <w:rFonts w:eastAsia="仿宋"/>
          <w:sz w:val="24"/>
        </w:rPr>
        <w:lastRenderedPageBreak/>
        <w:t>技术迭代正在重塑市场需求结构。传统荧光材料需求增速放缓，年增长率降至</w:t>
      </w:r>
      <w:r>
        <w:rPr>
          <w:rFonts w:eastAsia="仿宋"/>
          <w:sz w:val="24"/>
        </w:rPr>
        <w:t>5%</w:t>
      </w:r>
      <w:r>
        <w:rPr>
          <w:rFonts w:eastAsia="仿宋"/>
          <w:sz w:val="24"/>
        </w:rPr>
        <w:t>以下；磷光材料保持</w:t>
      </w:r>
      <w:r>
        <w:rPr>
          <w:rFonts w:eastAsia="仿宋"/>
          <w:sz w:val="24"/>
        </w:rPr>
        <w:t>15%</w:t>
      </w:r>
      <w:r>
        <w:rPr>
          <w:rFonts w:eastAsia="仿宋"/>
          <w:sz w:val="24"/>
        </w:rPr>
        <w:t>左右的稳定增长；而</w:t>
      </w:r>
      <w:r>
        <w:rPr>
          <w:rFonts w:eastAsia="仿宋"/>
          <w:sz w:val="24"/>
        </w:rPr>
        <w:t>TADF</w:t>
      </w:r>
      <w:r>
        <w:rPr>
          <w:rFonts w:eastAsia="仿宋"/>
          <w:sz w:val="24"/>
        </w:rPr>
        <w:t>等新型材料需求呈现爆发式增长，年增速超过</w:t>
      </w:r>
      <w:r>
        <w:rPr>
          <w:rFonts w:eastAsia="仿宋"/>
          <w:sz w:val="24"/>
        </w:rPr>
        <w:t>40%</w:t>
      </w:r>
      <w:r>
        <w:rPr>
          <w:rFonts w:eastAsia="仿宋"/>
          <w:sz w:val="24"/>
        </w:rPr>
        <w:t>。特别是在蓝光材料领域，随着技术突破，高性能</w:t>
      </w:r>
      <w:r>
        <w:rPr>
          <w:rFonts w:eastAsia="仿宋"/>
          <w:sz w:val="24"/>
        </w:rPr>
        <w:t>TADF</w:t>
      </w:r>
      <w:r>
        <w:rPr>
          <w:rFonts w:eastAsia="仿宋"/>
          <w:sz w:val="24"/>
        </w:rPr>
        <w:t>蓝光材料正快速替代传统荧光材料，预计</w:t>
      </w:r>
      <w:r>
        <w:rPr>
          <w:rFonts w:eastAsia="仿宋"/>
          <w:sz w:val="24"/>
        </w:rPr>
        <w:t>2025</w:t>
      </w:r>
      <w:r>
        <w:rPr>
          <w:rFonts w:eastAsia="仿宋"/>
          <w:sz w:val="24"/>
        </w:rPr>
        <w:t>年市场份额将提升至</w:t>
      </w:r>
      <w:r>
        <w:rPr>
          <w:rFonts w:eastAsia="仿宋"/>
          <w:sz w:val="24"/>
        </w:rPr>
        <w:t>25%</w:t>
      </w:r>
      <w:r>
        <w:rPr>
          <w:rFonts w:eastAsia="仿宋"/>
          <w:sz w:val="24"/>
        </w:rPr>
        <w:t>以上。印刷</w:t>
      </w:r>
      <w:r>
        <w:rPr>
          <w:rFonts w:eastAsia="仿宋"/>
          <w:sz w:val="24"/>
        </w:rPr>
        <w:t>OLED</w:t>
      </w:r>
      <w:r>
        <w:rPr>
          <w:rFonts w:eastAsia="仿宋"/>
          <w:sz w:val="24"/>
        </w:rPr>
        <w:t>技术的成熟也催生了对可溶性材料的新需求，这类材料市场规模有望从</w:t>
      </w:r>
      <w:r>
        <w:rPr>
          <w:rFonts w:eastAsia="仿宋"/>
          <w:sz w:val="24"/>
        </w:rPr>
        <w:t>2023</w:t>
      </w:r>
      <w:r>
        <w:rPr>
          <w:rFonts w:eastAsia="仿宋"/>
          <w:sz w:val="24"/>
        </w:rPr>
        <w:t>年的</w:t>
      </w:r>
      <w:r>
        <w:rPr>
          <w:rFonts w:eastAsia="仿宋"/>
          <w:sz w:val="24"/>
        </w:rPr>
        <w:t>1.2</w:t>
      </w:r>
      <w:r>
        <w:rPr>
          <w:rFonts w:eastAsia="仿宋"/>
          <w:sz w:val="24"/>
        </w:rPr>
        <w:t>亿美元增长至</w:t>
      </w:r>
      <w:r>
        <w:rPr>
          <w:rFonts w:eastAsia="仿宋"/>
          <w:sz w:val="24"/>
        </w:rPr>
        <w:t>2025</w:t>
      </w:r>
      <w:r>
        <w:rPr>
          <w:rFonts w:eastAsia="仿宋"/>
          <w:sz w:val="24"/>
        </w:rPr>
        <w:t>年的</w:t>
      </w:r>
      <w:r>
        <w:rPr>
          <w:rFonts w:eastAsia="仿宋"/>
          <w:sz w:val="24"/>
        </w:rPr>
        <w:t>3.5</w:t>
      </w:r>
      <w:r>
        <w:rPr>
          <w:rFonts w:eastAsia="仿宋"/>
          <w:sz w:val="24"/>
        </w:rPr>
        <w:t>亿美元。</w:t>
      </w:r>
    </w:p>
    <w:p w:rsidR="00000000" w:rsidRDefault="00000000">
      <w:pPr>
        <w:pStyle w:val="3"/>
        <w:spacing w:beforeLines="50" w:before="156" w:afterLines="50" w:after="156" w:line="440" w:lineRule="exact"/>
        <w:rPr>
          <w:rFonts w:eastAsia="楷体"/>
          <w:sz w:val="28"/>
        </w:rPr>
      </w:pPr>
      <w:bookmarkStart w:id="60" w:name="_Toc4409"/>
      <w:bookmarkStart w:id="61" w:name="_Toc7427"/>
      <w:bookmarkStart w:id="62" w:name="_Toc32479"/>
      <w:bookmarkStart w:id="63" w:name="_Toc26311"/>
      <w:bookmarkStart w:id="64" w:name="_Toc7991"/>
      <w:bookmarkStart w:id="65" w:name="_Toc16948"/>
      <w:bookmarkStart w:id="66" w:name="_Toc22808"/>
      <w:bookmarkStart w:id="67" w:name="_Toc133415893"/>
      <w:bookmarkStart w:id="68" w:name="_Toc5757"/>
      <w:r>
        <w:rPr>
          <w:rFonts w:eastAsia="楷体"/>
          <w:sz w:val="28"/>
        </w:rPr>
        <w:t>1.1.4 OLED</w:t>
      </w:r>
      <w:r>
        <w:rPr>
          <w:rFonts w:eastAsia="楷体"/>
          <w:sz w:val="28"/>
        </w:rPr>
        <w:t>发光材料产业政策环境</w:t>
      </w:r>
      <w:bookmarkEnd w:id="60"/>
      <w:bookmarkEnd w:id="61"/>
      <w:bookmarkEnd w:id="62"/>
      <w:bookmarkEnd w:id="63"/>
      <w:bookmarkEnd w:id="64"/>
      <w:bookmarkEnd w:id="68"/>
    </w:p>
    <w:p w:rsidR="00000000" w:rsidRDefault="00000000">
      <w:pPr>
        <w:spacing w:line="440" w:lineRule="exact"/>
        <w:ind w:firstLineChars="200" w:firstLine="480"/>
        <w:rPr>
          <w:rFonts w:eastAsia="仿宋"/>
          <w:sz w:val="24"/>
        </w:rPr>
      </w:pPr>
      <w:r>
        <w:rPr>
          <w:rFonts w:eastAsia="仿宋"/>
          <w:sz w:val="24"/>
        </w:rPr>
        <w:t>中国</w:t>
      </w:r>
      <w:r>
        <w:rPr>
          <w:rFonts w:eastAsia="仿宋"/>
          <w:sz w:val="24"/>
        </w:rPr>
        <w:t>OLED</w:t>
      </w:r>
      <w:r>
        <w:rPr>
          <w:rFonts w:eastAsia="仿宋"/>
          <w:sz w:val="24"/>
        </w:rPr>
        <w:t>发光材料产业政策环境整体利好，国家与地方层面均提供资金、税收和技术支持，推动国产替代进程。但国际竞争加剧、专利壁垒及环保要求提高，仍需企业持续创新以应对挑战。未来，政策将继续向核心技术攻关、绿色制造和产业链安全方向倾斜。</w:t>
      </w:r>
    </w:p>
    <w:p w:rsidR="00000000" w:rsidRDefault="00000000">
      <w:pPr>
        <w:widowControl/>
        <w:spacing w:line="440" w:lineRule="exact"/>
        <w:ind w:firstLineChars="200" w:firstLine="480"/>
        <w:jc w:val="left"/>
        <w:rPr>
          <w:rFonts w:eastAsia="仿宋"/>
          <w:sz w:val="24"/>
        </w:rPr>
      </w:pPr>
      <w:r>
        <w:rPr>
          <w:rFonts w:eastAsia="仿宋"/>
          <w:sz w:val="24"/>
        </w:rPr>
        <w:t>2012</w:t>
      </w:r>
      <w:r>
        <w:rPr>
          <w:rFonts w:eastAsia="仿宋"/>
          <w:sz w:val="24"/>
        </w:rPr>
        <w:t>年以来，国家发改委、自然资源部等多部门从技术发展、数据分析、应用服务等环节颁布多项促进遥感行业发展的支持政策，为行业发展构建了良好的政策环境。例如，《</w:t>
      </w:r>
      <w:r>
        <w:rPr>
          <w:rFonts w:eastAsia="仿宋"/>
          <w:sz w:val="24"/>
        </w:rPr>
        <w:t>“</w:t>
      </w:r>
      <w:r>
        <w:rPr>
          <w:rFonts w:eastAsia="仿宋"/>
          <w:sz w:val="24"/>
        </w:rPr>
        <w:t>数据要素</w:t>
      </w:r>
      <w:r>
        <w:rPr>
          <w:rFonts w:eastAsia="仿宋"/>
          <w:sz w:val="24"/>
        </w:rPr>
        <w:t>×”</w:t>
      </w:r>
      <w:r>
        <w:rPr>
          <w:rFonts w:eastAsia="仿宋"/>
          <w:sz w:val="24"/>
        </w:rPr>
        <w:t>三年行动计划</w:t>
      </w:r>
      <w:r>
        <w:rPr>
          <w:rFonts w:eastAsia="仿宋"/>
          <w:sz w:val="24"/>
        </w:rPr>
        <w:t>(2024—2026</w:t>
      </w:r>
      <w:r>
        <w:rPr>
          <w:rFonts w:eastAsia="仿宋"/>
          <w:sz w:val="24"/>
        </w:rPr>
        <w:t>年</w:t>
      </w:r>
      <w:r>
        <w:rPr>
          <w:rFonts w:eastAsia="仿宋"/>
          <w:sz w:val="24"/>
        </w:rPr>
        <w:t>)</w:t>
      </w:r>
      <w:r>
        <w:rPr>
          <w:rFonts w:eastAsia="仿宋"/>
          <w:sz w:val="24"/>
        </w:rPr>
        <w:t>》提到了要从多方面加强遥感数据的探索和利用，为遥感行业的发展提供了政策保障和市场需求。国家层面</w:t>
      </w:r>
      <w:r>
        <w:rPr>
          <w:rFonts w:eastAsia="仿宋" w:hint="eastAsia"/>
          <w:sz w:val="24"/>
        </w:rPr>
        <w:t>2020</w:t>
      </w:r>
      <w:r>
        <w:rPr>
          <w:rFonts w:eastAsia="仿宋" w:hint="eastAsia"/>
          <w:sz w:val="24"/>
        </w:rPr>
        <w:t>年以来，</w:t>
      </w:r>
      <w:r>
        <w:rPr>
          <w:rFonts w:eastAsia="仿宋"/>
          <w:sz w:val="24"/>
        </w:rPr>
        <w:t>OLED</w:t>
      </w:r>
      <w:r>
        <w:rPr>
          <w:rFonts w:eastAsia="仿宋"/>
          <w:sz w:val="24"/>
        </w:rPr>
        <w:t>行业政策汇总如表</w:t>
      </w:r>
      <w:r>
        <w:rPr>
          <w:rFonts w:eastAsia="仿宋"/>
          <w:sz w:val="24"/>
        </w:rPr>
        <w:t>1-1-1</w:t>
      </w:r>
      <w:r>
        <w:rPr>
          <w:rFonts w:eastAsia="仿宋"/>
          <w:sz w:val="24"/>
        </w:rPr>
        <w:t>。</w:t>
      </w:r>
    </w:p>
    <w:p w:rsidR="00000000" w:rsidRDefault="00000000">
      <w:pPr>
        <w:jc w:val="center"/>
        <w:rPr>
          <w:rFonts w:eastAsia="仿宋"/>
          <w:sz w:val="24"/>
        </w:rPr>
      </w:pPr>
      <w:r>
        <w:rPr>
          <w:rFonts w:eastAsia="仿宋"/>
          <w:sz w:val="24"/>
        </w:rPr>
        <w:t>表</w:t>
      </w:r>
      <w:r>
        <w:rPr>
          <w:rFonts w:eastAsia="仿宋"/>
          <w:sz w:val="24"/>
        </w:rPr>
        <w:t xml:space="preserve">1-1-1 </w:t>
      </w:r>
      <w:r>
        <w:rPr>
          <w:rFonts w:eastAsia="仿宋"/>
          <w:sz w:val="24"/>
        </w:rPr>
        <w:t>国家层面遥感行业政策汇总</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
        <w:gridCol w:w="1787"/>
        <w:gridCol w:w="5350"/>
        <w:gridCol w:w="1117"/>
      </w:tblGrid>
      <w:tr w:rsidR="00000000">
        <w:tc>
          <w:tcPr>
            <w:tcW w:w="807" w:type="dxa"/>
            <w:shd w:val="clear" w:color="auto" w:fill="D6E3BC"/>
            <w:vAlign w:val="center"/>
          </w:tcPr>
          <w:p w:rsidR="00000000" w:rsidRDefault="00000000">
            <w:pPr>
              <w:jc w:val="center"/>
              <w:rPr>
                <w:rFonts w:eastAsia="仿宋"/>
                <w:sz w:val="24"/>
              </w:rPr>
            </w:pPr>
            <w:r>
              <w:rPr>
                <w:rFonts w:eastAsia="仿宋"/>
                <w:sz w:val="24"/>
              </w:rPr>
              <w:t>发布时间</w:t>
            </w:r>
          </w:p>
        </w:tc>
        <w:tc>
          <w:tcPr>
            <w:tcW w:w="1787" w:type="dxa"/>
            <w:shd w:val="clear" w:color="auto" w:fill="D6E3BC"/>
            <w:vAlign w:val="center"/>
          </w:tcPr>
          <w:p w:rsidR="00000000" w:rsidRDefault="00000000">
            <w:pPr>
              <w:jc w:val="center"/>
              <w:rPr>
                <w:rFonts w:eastAsia="仿宋"/>
                <w:sz w:val="24"/>
              </w:rPr>
            </w:pPr>
            <w:r>
              <w:rPr>
                <w:rFonts w:eastAsia="仿宋"/>
                <w:sz w:val="24"/>
              </w:rPr>
              <w:t>政策</w:t>
            </w:r>
          </w:p>
        </w:tc>
        <w:tc>
          <w:tcPr>
            <w:tcW w:w="5350" w:type="dxa"/>
            <w:shd w:val="clear" w:color="auto" w:fill="D6E3BC"/>
            <w:vAlign w:val="center"/>
          </w:tcPr>
          <w:p w:rsidR="00000000" w:rsidRDefault="00000000">
            <w:pPr>
              <w:jc w:val="center"/>
              <w:rPr>
                <w:rFonts w:eastAsia="仿宋"/>
                <w:sz w:val="24"/>
              </w:rPr>
            </w:pPr>
            <w:r>
              <w:rPr>
                <w:rFonts w:eastAsia="仿宋"/>
                <w:sz w:val="24"/>
              </w:rPr>
              <w:t>重点内容解读</w:t>
            </w:r>
          </w:p>
        </w:tc>
        <w:tc>
          <w:tcPr>
            <w:tcW w:w="1117" w:type="dxa"/>
            <w:shd w:val="clear" w:color="auto" w:fill="D6E3BC"/>
            <w:vAlign w:val="center"/>
          </w:tcPr>
          <w:p w:rsidR="00000000" w:rsidRDefault="00000000">
            <w:pPr>
              <w:jc w:val="center"/>
              <w:rPr>
                <w:rFonts w:eastAsia="仿宋"/>
                <w:sz w:val="24"/>
              </w:rPr>
            </w:pPr>
            <w:r>
              <w:rPr>
                <w:rFonts w:eastAsia="仿宋"/>
                <w:sz w:val="24"/>
              </w:rPr>
              <w:t>政策性质</w:t>
            </w:r>
          </w:p>
        </w:tc>
      </w:tr>
      <w:tr w:rsidR="00000000">
        <w:tc>
          <w:tcPr>
            <w:tcW w:w="807" w:type="dxa"/>
            <w:vAlign w:val="center"/>
          </w:tcPr>
          <w:p w:rsidR="00000000" w:rsidRDefault="00000000">
            <w:pPr>
              <w:widowControl/>
              <w:spacing w:line="440" w:lineRule="exact"/>
              <w:jc w:val="left"/>
              <w:rPr>
                <w:rFonts w:eastAsia="仿宋"/>
                <w:sz w:val="24"/>
              </w:rPr>
            </w:pPr>
            <w:r>
              <w:rPr>
                <w:rStyle w:val="af1"/>
                <w:rFonts w:eastAsia="仿宋"/>
                <w:b w:val="0"/>
                <w:bCs w:val="0"/>
                <w:kern w:val="0"/>
                <w:sz w:val="24"/>
                <w:lang w:bidi="ar"/>
              </w:rPr>
              <w:t>2020</w:t>
            </w:r>
            <w:r>
              <w:rPr>
                <w:rStyle w:val="af1"/>
                <w:rFonts w:eastAsia="仿宋"/>
                <w:b w:val="0"/>
                <w:bCs w:val="0"/>
                <w:kern w:val="0"/>
                <w:sz w:val="24"/>
                <w:lang w:bidi="ar"/>
              </w:rPr>
              <w:t>年</w:t>
            </w:r>
            <w:r>
              <w:rPr>
                <w:rStyle w:val="af1"/>
                <w:rFonts w:eastAsia="仿宋"/>
                <w:b w:val="0"/>
                <w:bCs w:val="0"/>
                <w:kern w:val="0"/>
                <w:sz w:val="24"/>
                <w:lang w:bidi="ar"/>
              </w:rPr>
              <w:t>8</w:t>
            </w:r>
            <w:r>
              <w:rPr>
                <w:rStyle w:val="af1"/>
                <w:rFonts w:eastAsia="仿宋"/>
                <w:b w:val="0"/>
                <w:bCs w:val="0"/>
                <w:kern w:val="0"/>
                <w:sz w:val="24"/>
                <w:lang w:bidi="ar"/>
              </w:rPr>
              <w:t>月</w:t>
            </w:r>
          </w:p>
        </w:tc>
        <w:tc>
          <w:tcPr>
            <w:tcW w:w="1787" w:type="dxa"/>
            <w:vAlign w:val="center"/>
          </w:tcPr>
          <w:p w:rsidR="00000000" w:rsidRDefault="00000000">
            <w:pPr>
              <w:widowControl/>
              <w:spacing w:line="440" w:lineRule="exact"/>
              <w:jc w:val="left"/>
              <w:rPr>
                <w:rFonts w:eastAsia="仿宋"/>
                <w:sz w:val="24"/>
              </w:rPr>
            </w:pPr>
            <w:r>
              <w:rPr>
                <w:rFonts w:eastAsia="仿宋"/>
                <w:kern w:val="0"/>
                <w:sz w:val="24"/>
                <w:lang w:bidi="ar"/>
              </w:rPr>
              <w:t>《关于扩大战略性新兴产业投资的指导意见》</w:t>
            </w:r>
          </w:p>
        </w:tc>
        <w:tc>
          <w:tcPr>
            <w:tcW w:w="5350" w:type="dxa"/>
            <w:vAlign w:val="center"/>
          </w:tcPr>
          <w:p w:rsidR="00000000" w:rsidRDefault="00000000">
            <w:pPr>
              <w:widowControl/>
              <w:spacing w:line="440" w:lineRule="exact"/>
              <w:jc w:val="left"/>
              <w:rPr>
                <w:rFonts w:eastAsia="仿宋"/>
                <w:sz w:val="24"/>
              </w:rPr>
            </w:pPr>
            <w:r>
              <w:rPr>
                <w:rFonts w:eastAsia="仿宋"/>
                <w:kern w:val="0"/>
                <w:sz w:val="24"/>
                <w:lang w:bidi="ar"/>
              </w:rPr>
              <w:t>加快新型显示器件、关键芯片等核心技术攻关。意见提出要加大对</w:t>
            </w:r>
            <w:r>
              <w:rPr>
                <w:rFonts w:eastAsia="仿宋"/>
                <w:kern w:val="0"/>
                <w:sz w:val="24"/>
                <w:lang w:bidi="ar"/>
              </w:rPr>
              <w:t>OLED</w:t>
            </w:r>
            <w:r>
              <w:rPr>
                <w:rFonts w:eastAsia="仿宋"/>
                <w:kern w:val="0"/>
                <w:sz w:val="24"/>
                <w:lang w:bidi="ar"/>
              </w:rPr>
              <w:t>等关键领域的投资力度，通过政府引导基金带动社会资本投入。特别强调要补齐产业链短板，提升关键材料自主保障能力。</w:t>
            </w:r>
          </w:p>
        </w:tc>
        <w:tc>
          <w:tcPr>
            <w:tcW w:w="1117" w:type="dxa"/>
            <w:vAlign w:val="center"/>
          </w:tcPr>
          <w:p w:rsidR="00000000" w:rsidRDefault="00000000">
            <w:pPr>
              <w:widowControl/>
              <w:spacing w:line="440" w:lineRule="exact"/>
              <w:jc w:val="left"/>
              <w:rPr>
                <w:rFonts w:eastAsia="仿宋"/>
                <w:sz w:val="24"/>
              </w:rPr>
            </w:pPr>
            <w:r>
              <w:rPr>
                <w:rFonts w:eastAsia="仿宋"/>
                <w:kern w:val="0"/>
                <w:sz w:val="24"/>
                <w:lang w:bidi="ar"/>
              </w:rPr>
              <w:t>国家投资引导</w:t>
            </w:r>
          </w:p>
        </w:tc>
      </w:tr>
      <w:tr w:rsidR="00000000">
        <w:tc>
          <w:tcPr>
            <w:tcW w:w="807" w:type="dxa"/>
            <w:vAlign w:val="center"/>
          </w:tcPr>
          <w:p w:rsidR="00000000" w:rsidRDefault="00000000">
            <w:pPr>
              <w:widowControl/>
              <w:spacing w:line="440" w:lineRule="exact"/>
              <w:jc w:val="left"/>
              <w:rPr>
                <w:rFonts w:eastAsia="仿宋"/>
                <w:sz w:val="24"/>
              </w:rPr>
            </w:pPr>
            <w:r>
              <w:rPr>
                <w:rStyle w:val="af1"/>
                <w:rFonts w:eastAsia="仿宋"/>
                <w:b w:val="0"/>
                <w:bCs w:val="0"/>
                <w:kern w:val="0"/>
                <w:sz w:val="24"/>
                <w:lang w:bidi="ar"/>
              </w:rPr>
              <w:t>2021</w:t>
            </w:r>
            <w:r>
              <w:rPr>
                <w:rStyle w:val="af1"/>
                <w:rFonts w:eastAsia="仿宋"/>
                <w:b w:val="0"/>
                <w:bCs w:val="0"/>
                <w:kern w:val="0"/>
                <w:sz w:val="24"/>
                <w:lang w:bidi="ar"/>
              </w:rPr>
              <w:t>年</w:t>
            </w:r>
            <w:r>
              <w:rPr>
                <w:rStyle w:val="af1"/>
                <w:rFonts w:eastAsia="仿宋"/>
                <w:b w:val="0"/>
                <w:bCs w:val="0"/>
                <w:kern w:val="0"/>
                <w:sz w:val="24"/>
                <w:lang w:bidi="ar"/>
              </w:rPr>
              <w:t>1</w:t>
            </w:r>
            <w:r>
              <w:rPr>
                <w:rStyle w:val="af1"/>
                <w:rFonts w:eastAsia="仿宋"/>
                <w:b w:val="0"/>
                <w:bCs w:val="0"/>
                <w:kern w:val="0"/>
                <w:sz w:val="24"/>
                <w:lang w:bidi="ar"/>
              </w:rPr>
              <w:t>月</w:t>
            </w:r>
          </w:p>
        </w:tc>
        <w:tc>
          <w:tcPr>
            <w:tcW w:w="1787" w:type="dxa"/>
            <w:vAlign w:val="center"/>
          </w:tcPr>
          <w:p w:rsidR="00000000" w:rsidRDefault="00000000">
            <w:pPr>
              <w:widowControl/>
              <w:spacing w:line="440" w:lineRule="exact"/>
              <w:jc w:val="left"/>
              <w:rPr>
                <w:rFonts w:eastAsia="仿宋"/>
                <w:sz w:val="24"/>
              </w:rPr>
            </w:pPr>
            <w:r>
              <w:rPr>
                <w:rFonts w:eastAsia="仿宋"/>
                <w:kern w:val="0"/>
                <w:sz w:val="24"/>
                <w:lang w:bidi="ar"/>
              </w:rPr>
              <w:t>《关于支持新型显示产业发展进口税收政策的通知》</w:t>
            </w:r>
          </w:p>
        </w:tc>
        <w:tc>
          <w:tcPr>
            <w:tcW w:w="5350" w:type="dxa"/>
            <w:vAlign w:val="center"/>
          </w:tcPr>
          <w:p w:rsidR="00000000" w:rsidRDefault="00000000">
            <w:pPr>
              <w:widowControl/>
              <w:spacing w:line="440" w:lineRule="exact"/>
              <w:jc w:val="left"/>
              <w:rPr>
                <w:rFonts w:eastAsia="仿宋"/>
                <w:sz w:val="24"/>
              </w:rPr>
            </w:pPr>
            <w:r>
              <w:rPr>
                <w:rFonts w:eastAsia="仿宋"/>
                <w:kern w:val="0"/>
                <w:sz w:val="24"/>
                <w:lang w:bidi="ar"/>
              </w:rPr>
              <w:t>对</w:t>
            </w:r>
            <w:r>
              <w:rPr>
                <w:rFonts w:eastAsia="仿宋"/>
                <w:kern w:val="0"/>
                <w:sz w:val="24"/>
                <w:lang w:bidi="ar"/>
              </w:rPr>
              <w:t>OLED</w:t>
            </w:r>
            <w:r>
              <w:rPr>
                <w:rFonts w:eastAsia="仿宋"/>
                <w:kern w:val="0"/>
                <w:sz w:val="24"/>
                <w:lang w:bidi="ar"/>
              </w:rPr>
              <w:t>关键原材料（光刻胶、掩模版等）免征进口关税。政策覆盖了蒸镀材料、封装材料等多个品类，有效降低了企业生产成本。同时规定享受政策的企业需承诺加大研发投入，推动技术进步。</w:t>
            </w:r>
          </w:p>
        </w:tc>
        <w:tc>
          <w:tcPr>
            <w:tcW w:w="1117" w:type="dxa"/>
            <w:vAlign w:val="center"/>
          </w:tcPr>
          <w:p w:rsidR="00000000" w:rsidRDefault="00000000">
            <w:pPr>
              <w:widowControl/>
              <w:spacing w:line="440" w:lineRule="exact"/>
              <w:jc w:val="left"/>
              <w:rPr>
                <w:rFonts w:eastAsia="仿宋"/>
                <w:sz w:val="24"/>
              </w:rPr>
            </w:pPr>
            <w:r>
              <w:rPr>
                <w:rFonts w:eastAsia="仿宋"/>
                <w:kern w:val="0"/>
                <w:sz w:val="24"/>
                <w:lang w:bidi="ar"/>
              </w:rPr>
              <w:t>税收优惠政策</w:t>
            </w:r>
          </w:p>
        </w:tc>
      </w:tr>
      <w:tr w:rsidR="00000000">
        <w:tc>
          <w:tcPr>
            <w:tcW w:w="807" w:type="dxa"/>
            <w:vAlign w:val="center"/>
          </w:tcPr>
          <w:p w:rsidR="00000000" w:rsidRDefault="00000000">
            <w:pPr>
              <w:widowControl/>
              <w:spacing w:line="440" w:lineRule="exact"/>
              <w:jc w:val="left"/>
              <w:rPr>
                <w:rFonts w:eastAsia="仿宋"/>
                <w:sz w:val="24"/>
              </w:rPr>
            </w:pPr>
            <w:r>
              <w:rPr>
                <w:rStyle w:val="af1"/>
                <w:rFonts w:eastAsia="仿宋"/>
                <w:b w:val="0"/>
                <w:bCs w:val="0"/>
                <w:kern w:val="0"/>
                <w:sz w:val="24"/>
                <w:lang w:bidi="ar"/>
              </w:rPr>
              <w:t>2021</w:t>
            </w:r>
            <w:r>
              <w:rPr>
                <w:rStyle w:val="af1"/>
                <w:rFonts w:eastAsia="仿宋"/>
                <w:b w:val="0"/>
                <w:bCs w:val="0"/>
                <w:kern w:val="0"/>
                <w:sz w:val="24"/>
                <w:lang w:bidi="ar"/>
              </w:rPr>
              <w:lastRenderedPageBreak/>
              <w:t>年</w:t>
            </w:r>
            <w:r>
              <w:rPr>
                <w:rStyle w:val="af1"/>
                <w:rFonts w:eastAsia="仿宋"/>
                <w:b w:val="0"/>
                <w:bCs w:val="0"/>
                <w:kern w:val="0"/>
                <w:sz w:val="24"/>
                <w:lang w:bidi="ar"/>
              </w:rPr>
              <w:t>11</w:t>
            </w:r>
            <w:r>
              <w:rPr>
                <w:rStyle w:val="af1"/>
                <w:rFonts w:eastAsia="仿宋"/>
                <w:b w:val="0"/>
                <w:bCs w:val="0"/>
                <w:kern w:val="0"/>
                <w:sz w:val="24"/>
                <w:lang w:bidi="ar"/>
              </w:rPr>
              <w:t>月</w:t>
            </w:r>
          </w:p>
        </w:tc>
        <w:tc>
          <w:tcPr>
            <w:tcW w:w="1787" w:type="dxa"/>
            <w:vAlign w:val="center"/>
          </w:tcPr>
          <w:p w:rsidR="00000000" w:rsidRDefault="00000000">
            <w:pPr>
              <w:widowControl/>
              <w:spacing w:line="440" w:lineRule="exact"/>
              <w:jc w:val="left"/>
              <w:rPr>
                <w:rFonts w:eastAsia="仿宋"/>
                <w:sz w:val="24"/>
              </w:rPr>
            </w:pPr>
            <w:r>
              <w:rPr>
                <w:rFonts w:eastAsia="仿宋"/>
                <w:kern w:val="0"/>
                <w:sz w:val="24"/>
                <w:lang w:bidi="ar"/>
              </w:rPr>
              <w:lastRenderedPageBreak/>
              <w:t>《电子信息制</w:t>
            </w:r>
            <w:r>
              <w:rPr>
                <w:rFonts w:eastAsia="仿宋"/>
                <w:kern w:val="0"/>
                <w:sz w:val="24"/>
                <w:lang w:bidi="ar"/>
              </w:rPr>
              <w:lastRenderedPageBreak/>
              <w:t>造业稳增长行动方案》</w:t>
            </w:r>
          </w:p>
        </w:tc>
        <w:tc>
          <w:tcPr>
            <w:tcW w:w="5350" w:type="dxa"/>
            <w:vAlign w:val="center"/>
          </w:tcPr>
          <w:p w:rsidR="00000000" w:rsidRDefault="00000000">
            <w:pPr>
              <w:widowControl/>
              <w:spacing w:line="440" w:lineRule="exact"/>
              <w:jc w:val="left"/>
              <w:rPr>
                <w:rFonts w:eastAsia="仿宋"/>
                <w:sz w:val="24"/>
              </w:rPr>
            </w:pPr>
            <w:r>
              <w:rPr>
                <w:rFonts w:eastAsia="仿宋"/>
                <w:kern w:val="0"/>
                <w:sz w:val="24"/>
                <w:lang w:bidi="ar"/>
              </w:rPr>
              <w:lastRenderedPageBreak/>
              <w:t>加快培育</w:t>
            </w:r>
            <w:r>
              <w:rPr>
                <w:rFonts w:eastAsia="仿宋"/>
                <w:kern w:val="0"/>
                <w:sz w:val="24"/>
                <w:lang w:bidi="ar"/>
              </w:rPr>
              <w:t>OLED TV</w:t>
            </w:r>
            <w:r>
              <w:rPr>
                <w:rFonts w:eastAsia="仿宋"/>
                <w:kern w:val="0"/>
                <w:sz w:val="24"/>
                <w:lang w:bidi="ar"/>
              </w:rPr>
              <w:t>、</w:t>
            </w:r>
            <w:r>
              <w:rPr>
                <w:rFonts w:eastAsia="仿宋"/>
                <w:kern w:val="0"/>
                <w:sz w:val="24"/>
                <w:lang w:bidi="ar"/>
              </w:rPr>
              <w:t>8K</w:t>
            </w:r>
            <w:r>
              <w:rPr>
                <w:rFonts w:eastAsia="仿宋"/>
                <w:kern w:val="0"/>
                <w:sz w:val="24"/>
                <w:lang w:bidi="ar"/>
              </w:rPr>
              <w:t>等高端显示消费需求。</w:t>
            </w:r>
            <w:r>
              <w:rPr>
                <w:rFonts w:eastAsia="仿宋"/>
                <w:kern w:val="0"/>
                <w:sz w:val="24"/>
                <w:lang w:bidi="ar"/>
              </w:rPr>
              <w:lastRenderedPageBreak/>
              <w:t>方案通过刺激终端消费带动上游材料发展，提出要扩大</w:t>
            </w:r>
            <w:r>
              <w:rPr>
                <w:rFonts w:eastAsia="仿宋"/>
                <w:kern w:val="0"/>
                <w:sz w:val="24"/>
                <w:lang w:bidi="ar"/>
              </w:rPr>
              <w:t>OLED</w:t>
            </w:r>
            <w:r>
              <w:rPr>
                <w:rFonts w:eastAsia="仿宋"/>
                <w:kern w:val="0"/>
                <w:sz w:val="24"/>
                <w:lang w:bidi="ar"/>
              </w:rPr>
              <w:t>在电视、车载等领域的应用。同时支持企业开拓国际市场，提升全球竞争力。</w:t>
            </w:r>
          </w:p>
        </w:tc>
        <w:tc>
          <w:tcPr>
            <w:tcW w:w="1117" w:type="dxa"/>
            <w:vAlign w:val="center"/>
          </w:tcPr>
          <w:p w:rsidR="00000000" w:rsidRDefault="00000000">
            <w:pPr>
              <w:widowControl/>
              <w:spacing w:line="440" w:lineRule="exact"/>
              <w:jc w:val="left"/>
              <w:rPr>
                <w:rFonts w:eastAsia="仿宋"/>
                <w:sz w:val="24"/>
              </w:rPr>
            </w:pPr>
            <w:r>
              <w:rPr>
                <w:rFonts w:eastAsia="仿宋"/>
                <w:kern w:val="0"/>
                <w:sz w:val="24"/>
                <w:lang w:bidi="ar"/>
              </w:rPr>
              <w:lastRenderedPageBreak/>
              <w:t>行业稳</w:t>
            </w:r>
            <w:r>
              <w:rPr>
                <w:rFonts w:eastAsia="仿宋"/>
                <w:kern w:val="0"/>
                <w:sz w:val="24"/>
                <w:lang w:bidi="ar"/>
              </w:rPr>
              <w:lastRenderedPageBreak/>
              <w:t>增长政策</w:t>
            </w:r>
          </w:p>
        </w:tc>
      </w:tr>
      <w:tr w:rsidR="00000000">
        <w:tc>
          <w:tcPr>
            <w:tcW w:w="807" w:type="dxa"/>
            <w:vAlign w:val="center"/>
          </w:tcPr>
          <w:p w:rsidR="00000000" w:rsidRDefault="00000000">
            <w:pPr>
              <w:widowControl/>
              <w:spacing w:line="440" w:lineRule="exact"/>
              <w:jc w:val="left"/>
              <w:rPr>
                <w:rFonts w:eastAsia="仿宋"/>
                <w:sz w:val="24"/>
              </w:rPr>
            </w:pPr>
            <w:r>
              <w:rPr>
                <w:rStyle w:val="af1"/>
                <w:rFonts w:eastAsia="仿宋"/>
                <w:b w:val="0"/>
                <w:bCs w:val="0"/>
                <w:kern w:val="0"/>
                <w:sz w:val="24"/>
                <w:lang w:bidi="ar"/>
              </w:rPr>
              <w:lastRenderedPageBreak/>
              <w:t>2022</w:t>
            </w:r>
            <w:r>
              <w:rPr>
                <w:rStyle w:val="af1"/>
                <w:rFonts w:eastAsia="仿宋"/>
                <w:b w:val="0"/>
                <w:bCs w:val="0"/>
                <w:kern w:val="0"/>
                <w:sz w:val="24"/>
                <w:lang w:bidi="ar"/>
              </w:rPr>
              <w:t>年</w:t>
            </w:r>
            <w:r>
              <w:rPr>
                <w:rStyle w:val="af1"/>
                <w:rFonts w:eastAsia="仿宋"/>
                <w:b w:val="0"/>
                <w:bCs w:val="0"/>
                <w:kern w:val="0"/>
                <w:sz w:val="24"/>
                <w:lang w:bidi="ar"/>
              </w:rPr>
              <w:t>10</w:t>
            </w:r>
            <w:r>
              <w:rPr>
                <w:rStyle w:val="af1"/>
                <w:rFonts w:eastAsia="仿宋"/>
                <w:b w:val="0"/>
                <w:bCs w:val="0"/>
                <w:kern w:val="0"/>
                <w:sz w:val="24"/>
                <w:lang w:bidi="ar"/>
              </w:rPr>
              <w:t>月</w:t>
            </w:r>
          </w:p>
        </w:tc>
        <w:tc>
          <w:tcPr>
            <w:tcW w:w="1787" w:type="dxa"/>
            <w:vAlign w:val="center"/>
          </w:tcPr>
          <w:p w:rsidR="00000000" w:rsidRDefault="00000000">
            <w:pPr>
              <w:widowControl/>
              <w:spacing w:line="440" w:lineRule="exact"/>
              <w:jc w:val="left"/>
              <w:rPr>
                <w:rFonts w:eastAsia="仿宋"/>
                <w:sz w:val="24"/>
              </w:rPr>
            </w:pPr>
            <w:r>
              <w:rPr>
                <w:rFonts w:eastAsia="仿宋"/>
                <w:kern w:val="0"/>
                <w:sz w:val="24"/>
                <w:lang w:bidi="ar"/>
              </w:rPr>
              <w:t>《虚拟现实与行业应用融合发展行动计划》</w:t>
            </w:r>
          </w:p>
        </w:tc>
        <w:tc>
          <w:tcPr>
            <w:tcW w:w="5350" w:type="dxa"/>
            <w:vAlign w:val="center"/>
          </w:tcPr>
          <w:p w:rsidR="00000000" w:rsidRDefault="00000000">
            <w:pPr>
              <w:widowControl/>
              <w:spacing w:line="440" w:lineRule="exact"/>
              <w:jc w:val="left"/>
              <w:rPr>
                <w:rFonts w:eastAsia="仿宋"/>
                <w:sz w:val="24"/>
              </w:rPr>
            </w:pPr>
            <w:r>
              <w:rPr>
                <w:rFonts w:eastAsia="仿宋"/>
                <w:kern w:val="0"/>
                <w:sz w:val="24"/>
                <w:lang w:bidi="ar"/>
              </w:rPr>
              <w:t>推进</w:t>
            </w:r>
            <w:r>
              <w:rPr>
                <w:rFonts w:eastAsia="仿宋"/>
                <w:kern w:val="0"/>
                <w:sz w:val="24"/>
                <w:lang w:bidi="ar"/>
              </w:rPr>
              <w:t>OLED</w:t>
            </w:r>
            <w:r>
              <w:rPr>
                <w:rFonts w:eastAsia="仿宋"/>
                <w:kern w:val="0"/>
                <w:sz w:val="24"/>
                <w:lang w:bidi="ar"/>
              </w:rPr>
              <w:t>等微显示器件规模量产，优化光学性能。计划将</w:t>
            </w:r>
            <w:r>
              <w:rPr>
                <w:rFonts w:eastAsia="仿宋"/>
                <w:kern w:val="0"/>
                <w:sz w:val="24"/>
                <w:lang w:bidi="ar"/>
              </w:rPr>
              <w:t>OLED</w:t>
            </w:r>
            <w:r>
              <w:rPr>
                <w:rFonts w:eastAsia="仿宋"/>
                <w:kern w:val="0"/>
                <w:sz w:val="24"/>
                <w:lang w:bidi="ar"/>
              </w:rPr>
              <w:t>微显示作为</w:t>
            </w:r>
            <w:r>
              <w:rPr>
                <w:rFonts w:eastAsia="仿宋"/>
                <w:kern w:val="0"/>
                <w:sz w:val="24"/>
                <w:lang w:bidi="ar"/>
              </w:rPr>
              <w:t>VR/AR</w:t>
            </w:r>
            <w:r>
              <w:rPr>
                <w:rFonts w:eastAsia="仿宋"/>
                <w:kern w:val="0"/>
                <w:sz w:val="24"/>
                <w:lang w:bidi="ar"/>
              </w:rPr>
              <w:t>设备的核心部件，支持高</w:t>
            </w:r>
            <w:r>
              <w:rPr>
                <w:rFonts w:eastAsia="仿宋"/>
                <w:kern w:val="0"/>
                <w:sz w:val="24"/>
                <w:lang w:bidi="ar"/>
              </w:rPr>
              <w:t>PPI</w:t>
            </w:r>
            <w:r>
              <w:rPr>
                <w:rFonts w:eastAsia="仿宋"/>
                <w:kern w:val="0"/>
                <w:sz w:val="24"/>
                <w:lang w:bidi="ar"/>
              </w:rPr>
              <w:t>、高刷新率材料的研发。这一政策为</w:t>
            </w:r>
            <w:r>
              <w:rPr>
                <w:rFonts w:eastAsia="仿宋"/>
                <w:kern w:val="0"/>
                <w:sz w:val="24"/>
                <w:lang w:bidi="ar"/>
              </w:rPr>
              <w:t>OLED</w:t>
            </w:r>
            <w:r>
              <w:rPr>
                <w:rFonts w:eastAsia="仿宋"/>
                <w:kern w:val="0"/>
                <w:sz w:val="24"/>
                <w:lang w:bidi="ar"/>
              </w:rPr>
              <w:t>材料开辟了新的应用市场。</w:t>
            </w:r>
          </w:p>
        </w:tc>
        <w:tc>
          <w:tcPr>
            <w:tcW w:w="1117" w:type="dxa"/>
            <w:vAlign w:val="center"/>
          </w:tcPr>
          <w:p w:rsidR="00000000" w:rsidRDefault="00000000">
            <w:pPr>
              <w:widowControl/>
              <w:spacing w:line="440" w:lineRule="exact"/>
              <w:jc w:val="left"/>
              <w:rPr>
                <w:rFonts w:eastAsia="仿宋"/>
                <w:sz w:val="24"/>
              </w:rPr>
            </w:pPr>
            <w:r>
              <w:rPr>
                <w:rFonts w:eastAsia="仿宋"/>
                <w:kern w:val="0"/>
                <w:sz w:val="24"/>
                <w:lang w:bidi="ar"/>
              </w:rPr>
              <w:t>新兴应用扶持</w:t>
            </w:r>
          </w:p>
        </w:tc>
      </w:tr>
      <w:tr w:rsidR="00000000">
        <w:tc>
          <w:tcPr>
            <w:tcW w:w="807" w:type="dxa"/>
            <w:vAlign w:val="center"/>
          </w:tcPr>
          <w:p w:rsidR="00000000" w:rsidRDefault="00000000">
            <w:pPr>
              <w:widowControl/>
              <w:spacing w:line="440" w:lineRule="exact"/>
              <w:jc w:val="left"/>
              <w:rPr>
                <w:rFonts w:eastAsia="仿宋"/>
                <w:sz w:val="24"/>
              </w:rPr>
            </w:pPr>
            <w:r>
              <w:rPr>
                <w:rStyle w:val="af1"/>
                <w:rFonts w:eastAsia="仿宋"/>
                <w:b w:val="0"/>
                <w:bCs w:val="0"/>
                <w:kern w:val="0"/>
                <w:sz w:val="24"/>
                <w:lang w:bidi="ar"/>
              </w:rPr>
              <w:t>2023</w:t>
            </w:r>
            <w:r>
              <w:rPr>
                <w:rStyle w:val="af1"/>
                <w:rFonts w:eastAsia="仿宋"/>
                <w:b w:val="0"/>
                <w:bCs w:val="0"/>
                <w:kern w:val="0"/>
                <w:sz w:val="24"/>
                <w:lang w:bidi="ar"/>
              </w:rPr>
              <w:t>年</w:t>
            </w:r>
            <w:r>
              <w:rPr>
                <w:rStyle w:val="af1"/>
                <w:rFonts w:eastAsia="仿宋"/>
                <w:b w:val="0"/>
                <w:bCs w:val="0"/>
                <w:kern w:val="0"/>
                <w:sz w:val="24"/>
                <w:lang w:bidi="ar"/>
              </w:rPr>
              <w:t>4</w:t>
            </w:r>
            <w:r>
              <w:rPr>
                <w:rStyle w:val="af1"/>
                <w:rFonts w:eastAsia="仿宋"/>
                <w:b w:val="0"/>
                <w:bCs w:val="0"/>
                <w:kern w:val="0"/>
                <w:sz w:val="24"/>
                <w:lang w:bidi="ar"/>
              </w:rPr>
              <w:t>月</w:t>
            </w:r>
          </w:p>
        </w:tc>
        <w:tc>
          <w:tcPr>
            <w:tcW w:w="1787" w:type="dxa"/>
            <w:vAlign w:val="center"/>
          </w:tcPr>
          <w:p w:rsidR="00000000" w:rsidRDefault="00000000">
            <w:pPr>
              <w:widowControl/>
              <w:spacing w:line="440" w:lineRule="exact"/>
              <w:jc w:val="left"/>
              <w:rPr>
                <w:rFonts w:eastAsia="仿宋"/>
                <w:sz w:val="24"/>
              </w:rPr>
            </w:pPr>
            <w:r>
              <w:rPr>
                <w:rFonts w:eastAsia="仿宋"/>
                <w:kern w:val="0"/>
                <w:sz w:val="24"/>
                <w:lang w:bidi="ar"/>
              </w:rPr>
              <w:t>《深圳光明区支持新型显示材料发展措施》</w:t>
            </w:r>
          </w:p>
        </w:tc>
        <w:tc>
          <w:tcPr>
            <w:tcW w:w="5350" w:type="dxa"/>
            <w:vAlign w:val="center"/>
          </w:tcPr>
          <w:p w:rsidR="00000000" w:rsidRDefault="00000000">
            <w:pPr>
              <w:widowControl/>
              <w:spacing w:line="440" w:lineRule="exact"/>
              <w:jc w:val="left"/>
              <w:rPr>
                <w:rFonts w:eastAsia="仿宋"/>
                <w:kern w:val="0"/>
                <w:sz w:val="24"/>
                <w:lang w:bidi="ar"/>
              </w:rPr>
            </w:pPr>
            <w:r>
              <w:rPr>
                <w:rFonts w:eastAsia="仿宋"/>
                <w:kern w:val="0"/>
                <w:sz w:val="24"/>
                <w:lang w:bidi="ar"/>
              </w:rPr>
              <w:t>重点支持印刷</w:t>
            </w:r>
            <w:r>
              <w:rPr>
                <w:rFonts w:eastAsia="仿宋"/>
                <w:kern w:val="0"/>
                <w:sz w:val="24"/>
                <w:lang w:bidi="ar"/>
              </w:rPr>
              <w:t>OLED</w:t>
            </w:r>
            <w:r>
              <w:rPr>
                <w:rFonts w:eastAsia="仿宋"/>
                <w:kern w:val="0"/>
                <w:sz w:val="24"/>
                <w:lang w:bidi="ar"/>
              </w:rPr>
              <w:t>、量子点发光材料等核心技术攻关。措施提供最高</w:t>
            </w:r>
            <w:r>
              <w:rPr>
                <w:rFonts w:eastAsia="仿宋"/>
                <w:kern w:val="0"/>
                <w:sz w:val="24"/>
                <w:lang w:bidi="ar"/>
              </w:rPr>
              <w:t>5000</w:t>
            </w:r>
            <w:r>
              <w:rPr>
                <w:rFonts w:eastAsia="仿宋"/>
                <w:kern w:val="0"/>
                <w:sz w:val="24"/>
                <w:lang w:bidi="ar"/>
              </w:rPr>
              <w:t>万元的研发资助，并设立专项产业基金。特别鼓励企业联合高校开展前沿技术研发，推动创新成果转化。</w:t>
            </w:r>
          </w:p>
        </w:tc>
        <w:tc>
          <w:tcPr>
            <w:tcW w:w="1117" w:type="dxa"/>
            <w:vAlign w:val="center"/>
          </w:tcPr>
          <w:p w:rsidR="00000000" w:rsidRDefault="00000000">
            <w:pPr>
              <w:widowControl/>
              <w:spacing w:line="440" w:lineRule="exact"/>
              <w:jc w:val="left"/>
              <w:rPr>
                <w:rFonts w:eastAsia="仿宋"/>
                <w:sz w:val="24"/>
              </w:rPr>
            </w:pPr>
            <w:r>
              <w:rPr>
                <w:rFonts w:eastAsia="仿宋"/>
                <w:kern w:val="0"/>
                <w:sz w:val="24"/>
                <w:lang w:bidi="ar"/>
              </w:rPr>
              <w:t>地方专项扶持</w:t>
            </w:r>
          </w:p>
        </w:tc>
      </w:tr>
      <w:tr w:rsidR="00000000">
        <w:tc>
          <w:tcPr>
            <w:tcW w:w="807" w:type="dxa"/>
            <w:vAlign w:val="center"/>
          </w:tcPr>
          <w:p w:rsidR="00000000" w:rsidRDefault="00000000">
            <w:pPr>
              <w:widowControl/>
              <w:spacing w:line="440" w:lineRule="exact"/>
              <w:jc w:val="left"/>
              <w:rPr>
                <w:rFonts w:eastAsia="仿宋"/>
                <w:sz w:val="24"/>
              </w:rPr>
            </w:pPr>
            <w:r>
              <w:rPr>
                <w:rStyle w:val="af1"/>
                <w:rFonts w:eastAsia="仿宋"/>
                <w:b w:val="0"/>
                <w:bCs w:val="0"/>
                <w:kern w:val="0"/>
                <w:sz w:val="24"/>
                <w:lang w:bidi="ar"/>
              </w:rPr>
              <w:t>2024</w:t>
            </w:r>
            <w:r>
              <w:rPr>
                <w:rStyle w:val="af1"/>
                <w:rFonts w:eastAsia="仿宋"/>
                <w:b w:val="0"/>
                <w:bCs w:val="0"/>
                <w:kern w:val="0"/>
                <w:sz w:val="24"/>
                <w:lang w:bidi="ar"/>
              </w:rPr>
              <w:t>年</w:t>
            </w:r>
            <w:r>
              <w:rPr>
                <w:rStyle w:val="af1"/>
                <w:rFonts w:eastAsia="仿宋"/>
                <w:b w:val="0"/>
                <w:bCs w:val="0"/>
                <w:kern w:val="0"/>
                <w:sz w:val="24"/>
                <w:lang w:bidi="ar"/>
              </w:rPr>
              <w:t>3</w:t>
            </w:r>
            <w:r>
              <w:rPr>
                <w:rStyle w:val="af1"/>
                <w:rFonts w:eastAsia="仿宋"/>
                <w:b w:val="0"/>
                <w:bCs w:val="0"/>
                <w:kern w:val="0"/>
                <w:sz w:val="24"/>
                <w:lang w:bidi="ar"/>
              </w:rPr>
              <w:t>月</w:t>
            </w:r>
          </w:p>
        </w:tc>
        <w:tc>
          <w:tcPr>
            <w:tcW w:w="1787" w:type="dxa"/>
            <w:vAlign w:val="center"/>
          </w:tcPr>
          <w:p w:rsidR="00000000" w:rsidRDefault="00000000">
            <w:pPr>
              <w:widowControl/>
              <w:spacing w:line="440" w:lineRule="exact"/>
              <w:jc w:val="left"/>
              <w:rPr>
                <w:rFonts w:eastAsia="仿宋"/>
                <w:sz w:val="24"/>
              </w:rPr>
            </w:pPr>
            <w:r>
              <w:rPr>
                <w:rFonts w:eastAsia="仿宋"/>
                <w:kern w:val="0"/>
                <w:sz w:val="24"/>
                <w:lang w:bidi="ar"/>
              </w:rPr>
              <w:t>《河南省材料产业换道领跑行动计划》</w:t>
            </w:r>
          </w:p>
        </w:tc>
        <w:tc>
          <w:tcPr>
            <w:tcW w:w="5350" w:type="dxa"/>
            <w:vAlign w:val="center"/>
          </w:tcPr>
          <w:p w:rsidR="00000000" w:rsidRDefault="00000000">
            <w:pPr>
              <w:widowControl/>
              <w:spacing w:line="440" w:lineRule="exact"/>
              <w:jc w:val="left"/>
              <w:rPr>
                <w:rFonts w:eastAsia="仿宋"/>
                <w:kern w:val="0"/>
                <w:sz w:val="24"/>
                <w:lang w:bidi="ar"/>
              </w:rPr>
            </w:pPr>
            <w:r>
              <w:rPr>
                <w:rFonts w:eastAsia="仿宋"/>
                <w:kern w:val="0"/>
                <w:sz w:val="24"/>
                <w:lang w:bidi="ar"/>
              </w:rPr>
              <w:t>发展</w:t>
            </w:r>
            <w:r>
              <w:rPr>
                <w:rFonts w:eastAsia="仿宋"/>
                <w:kern w:val="0"/>
                <w:sz w:val="24"/>
                <w:lang w:bidi="ar"/>
              </w:rPr>
              <w:t>OLED</w:t>
            </w:r>
            <w:r>
              <w:rPr>
                <w:rFonts w:eastAsia="仿宋"/>
                <w:kern w:val="0"/>
                <w:sz w:val="24"/>
                <w:lang w:bidi="ar"/>
              </w:rPr>
              <w:t>用新型发光材料，完善光电显示产业链。计划提出要建设</w:t>
            </w:r>
            <w:r>
              <w:rPr>
                <w:rFonts w:eastAsia="仿宋"/>
                <w:kern w:val="0"/>
                <w:sz w:val="24"/>
                <w:lang w:bidi="ar"/>
              </w:rPr>
              <w:t>OLED</w:t>
            </w:r>
            <w:r>
              <w:rPr>
                <w:rFonts w:eastAsia="仿宋"/>
                <w:kern w:val="0"/>
                <w:sz w:val="24"/>
                <w:lang w:bidi="ar"/>
              </w:rPr>
              <w:t>材料产业园，引进培育一批专精特新企业。通过产业链招商，形成从原材料到终端产品的完整产业生态。</w:t>
            </w:r>
          </w:p>
        </w:tc>
        <w:tc>
          <w:tcPr>
            <w:tcW w:w="1117" w:type="dxa"/>
            <w:vAlign w:val="center"/>
          </w:tcPr>
          <w:p w:rsidR="00000000" w:rsidRDefault="00000000">
            <w:pPr>
              <w:widowControl/>
              <w:spacing w:line="440" w:lineRule="exact"/>
              <w:jc w:val="left"/>
              <w:rPr>
                <w:rFonts w:eastAsia="仿宋"/>
                <w:sz w:val="24"/>
              </w:rPr>
            </w:pPr>
            <w:r>
              <w:rPr>
                <w:rFonts w:eastAsia="仿宋"/>
                <w:kern w:val="0"/>
                <w:sz w:val="24"/>
                <w:lang w:bidi="ar"/>
              </w:rPr>
              <w:t>地方产业升级</w:t>
            </w:r>
          </w:p>
        </w:tc>
      </w:tr>
    </w:tbl>
    <w:p w:rsidR="00000000" w:rsidRDefault="00000000">
      <w:pPr>
        <w:pStyle w:val="3"/>
        <w:spacing w:beforeLines="50" w:before="156" w:afterLines="50" w:after="156" w:line="440" w:lineRule="exact"/>
        <w:rPr>
          <w:rFonts w:eastAsia="楷体"/>
          <w:sz w:val="28"/>
        </w:rPr>
      </w:pPr>
      <w:bookmarkStart w:id="69" w:name="_Toc23585"/>
      <w:bookmarkStart w:id="70" w:name="_Toc27002"/>
      <w:bookmarkStart w:id="71" w:name="_Toc27227"/>
      <w:bookmarkStart w:id="72" w:name="_Toc3096"/>
      <w:bookmarkStart w:id="73" w:name="_Toc14310"/>
      <w:bookmarkStart w:id="74" w:name="_Toc8336"/>
      <w:r>
        <w:rPr>
          <w:rFonts w:eastAsia="楷体"/>
          <w:sz w:val="28"/>
        </w:rPr>
        <w:t>1.1.5 OLED</w:t>
      </w:r>
      <w:r>
        <w:rPr>
          <w:rFonts w:eastAsia="楷体"/>
          <w:sz w:val="28"/>
        </w:rPr>
        <w:t>发光材料产业发展历程</w:t>
      </w:r>
      <w:bookmarkEnd w:id="65"/>
      <w:bookmarkEnd w:id="66"/>
      <w:bookmarkEnd w:id="67"/>
      <w:bookmarkEnd w:id="69"/>
      <w:bookmarkEnd w:id="70"/>
      <w:bookmarkEnd w:id="71"/>
      <w:bookmarkEnd w:id="72"/>
      <w:bookmarkEnd w:id="73"/>
      <w:bookmarkEnd w:id="74"/>
    </w:p>
    <w:p w:rsidR="00000000" w:rsidRDefault="00000000">
      <w:pPr>
        <w:widowControl/>
        <w:spacing w:line="440" w:lineRule="exact"/>
        <w:ind w:firstLineChars="200" w:firstLine="480"/>
        <w:jc w:val="left"/>
        <w:rPr>
          <w:rFonts w:eastAsia="仿宋"/>
          <w:sz w:val="24"/>
        </w:rPr>
      </w:pPr>
      <w:r>
        <w:rPr>
          <w:rFonts w:eastAsia="仿宋"/>
          <w:sz w:val="24"/>
        </w:rPr>
        <w:t>一、技术探索与基础研究阶段（</w:t>
      </w:r>
      <w:r>
        <w:rPr>
          <w:rFonts w:eastAsia="仿宋"/>
          <w:sz w:val="24"/>
        </w:rPr>
        <w:t>1987-1999</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OLED</w:t>
      </w:r>
      <w:r>
        <w:rPr>
          <w:rFonts w:eastAsia="仿宋"/>
          <w:sz w:val="24"/>
        </w:rPr>
        <w:t>发光材料的研发历程可以追溯到</w:t>
      </w:r>
      <w:r>
        <w:rPr>
          <w:rFonts w:eastAsia="仿宋"/>
          <w:sz w:val="24"/>
        </w:rPr>
        <w:t>1987</w:t>
      </w:r>
      <w:r>
        <w:rPr>
          <w:rFonts w:eastAsia="仿宋"/>
          <w:sz w:val="24"/>
        </w:rPr>
        <w:t>年，柯达公司的邓青云博士团队首次成功研制出具有实用价值的</w:t>
      </w:r>
      <w:r>
        <w:rPr>
          <w:rFonts w:eastAsia="仿宋"/>
          <w:sz w:val="24"/>
        </w:rPr>
        <w:t>OLED</w:t>
      </w:r>
      <w:r>
        <w:rPr>
          <w:rFonts w:eastAsia="仿宋"/>
          <w:sz w:val="24"/>
        </w:rPr>
        <w:t>器件，这标志着</w:t>
      </w:r>
      <w:r>
        <w:rPr>
          <w:rFonts w:eastAsia="仿宋"/>
          <w:sz w:val="24"/>
        </w:rPr>
        <w:t>OLED</w:t>
      </w:r>
      <w:r>
        <w:rPr>
          <w:rFonts w:eastAsia="仿宋"/>
          <w:sz w:val="24"/>
        </w:rPr>
        <w:t>技术的正式诞生。在这一开创性研究中，研究团队采用了</w:t>
      </w:r>
      <w:r>
        <w:rPr>
          <w:rFonts w:eastAsia="仿宋"/>
          <w:sz w:val="24"/>
        </w:rPr>
        <w:t>8-</w:t>
      </w:r>
      <w:r>
        <w:rPr>
          <w:rFonts w:eastAsia="仿宋"/>
          <w:sz w:val="24"/>
        </w:rPr>
        <w:t>羟基喹啉铝（</w:t>
      </w:r>
      <w:r>
        <w:rPr>
          <w:rFonts w:eastAsia="仿宋"/>
          <w:sz w:val="24"/>
        </w:rPr>
        <w:t>Alq3</w:t>
      </w:r>
      <w:r>
        <w:rPr>
          <w:rFonts w:eastAsia="仿宋"/>
          <w:sz w:val="24"/>
        </w:rPr>
        <w:t>）作为发光层材料，虽然初始发光效率仅为</w:t>
      </w:r>
      <w:r>
        <w:rPr>
          <w:rFonts w:eastAsia="仿宋"/>
          <w:sz w:val="24"/>
        </w:rPr>
        <w:t>1-5 lm/W</w:t>
      </w:r>
      <w:r>
        <w:rPr>
          <w:rFonts w:eastAsia="仿宋"/>
          <w:sz w:val="24"/>
        </w:rPr>
        <w:t>，但为后续发展奠定了基础。</w:t>
      </w:r>
      <w:r>
        <w:rPr>
          <w:rFonts w:eastAsia="仿宋"/>
          <w:sz w:val="24"/>
        </w:rPr>
        <w:t>1990</w:t>
      </w:r>
      <w:r>
        <w:rPr>
          <w:rFonts w:eastAsia="仿宋"/>
          <w:sz w:val="24"/>
        </w:rPr>
        <w:t>年，剑桥大学</w:t>
      </w:r>
      <w:r>
        <w:rPr>
          <w:rFonts w:eastAsia="仿宋"/>
          <w:sz w:val="24"/>
        </w:rPr>
        <w:t>Friend</w:t>
      </w:r>
      <w:r>
        <w:rPr>
          <w:rFonts w:eastAsia="仿宋"/>
          <w:sz w:val="24"/>
        </w:rPr>
        <w:t>教授团队在聚合物</w:t>
      </w:r>
      <w:r>
        <w:rPr>
          <w:rFonts w:eastAsia="仿宋"/>
          <w:sz w:val="24"/>
        </w:rPr>
        <w:t>OLED</w:t>
      </w:r>
      <w:r>
        <w:rPr>
          <w:rFonts w:eastAsia="仿宋"/>
          <w:sz w:val="24"/>
        </w:rPr>
        <w:t>材料研究方面取得突破，开发出</w:t>
      </w:r>
      <w:r>
        <w:rPr>
          <w:rFonts w:eastAsia="仿宋"/>
          <w:sz w:val="24"/>
        </w:rPr>
        <w:t>PPV</w:t>
      </w:r>
      <w:r>
        <w:rPr>
          <w:rFonts w:eastAsia="仿宋"/>
          <w:sz w:val="24"/>
        </w:rPr>
        <w:t>等新型发光材料，开辟了</w:t>
      </w:r>
      <w:r>
        <w:rPr>
          <w:rFonts w:eastAsia="仿宋"/>
          <w:sz w:val="24"/>
        </w:rPr>
        <w:t>PLED</w:t>
      </w:r>
      <w:r>
        <w:rPr>
          <w:rFonts w:eastAsia="仿宋"/>
          <w:sz w:val="24"/>
        </w:rPr>
        <w:t>技术路线。</w:t>
      </w:r>
    </w:p>
    <w:p w:rsidR="00000000" w:rsidRDefault="00000000">
      <w:pPr>
        <w:widowControl/>
        <w:spacing w:line="440" w:lineRule="exact"/>
        <w:ind w:firstLineChars="200" w:firstLine="480"/>
        <w:jc w:val="left"/>
        <w:rPr>
          <w:rFonts w:eastAsia="仿宋"/>
          <w:sz w:val="24"/>
        </w:rPr>
      </w:pPr>
      <w:r>
        <w:rPr>
          <w:rFonts w:eastAsia="仿宋"/>
          <w:sz w:val="24"/>
        </w:rPr>
        <w:t>二、技术突破与初步商业化阶段（</w:t>
      </w:r>
      <w:r>
        <w:rPr>
          <w:rFonts w:eastAsia="仿宋"/>
          <w:sz w:val="24"/>
        </w:rPr>
        <w:t>2000-2007</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进入新世纪后，</w:t>
      </w:r>
      <w:r>
        <w:rPr>
          <w:rFonts w:eastAsia="仿宋"/>
          <w:sz w:val="24"/>
        </w:rPr>
        <w:t>OLED</w:t>
      </w:r>
      <w:r>
        <w:rPr>
          <w:rFonts w:eastAsia="仿宋"/>
          <w:sz w:val="24"/>
        </w:rPr>
        <w:t>材料技术迎来重大突破。产业化进程在</w:t>
      </w:r>
      <w:r>
        <w:rPr>
          <w:rFonts w:eastAsia="仿宋"/>
          <w:sz w:val="24"/>
        </w:rPr>
        <w:t>2004</w:t>
      </w:r>
      <w:r>
        <w:rPr>
          <w:rFonts w:eastAsia="仿宋"/>
          <w:sz w:val="24"/>
        </w:rPr>
        <w:t>年取得重要进展，索尼公司推出全球首款</w:t>
      </w:r>
      <w:r>
        <w:rPr>
          <w:rFonts w:eastAsia="仿宋"/>
          <w:sz w:val="24"/>
        </w:rPr>
        <w:t>OLED</w:t>
      </w:r>
      <w:r>
        <w:rPr>
          <w:rFonts w:eastAsia="仿宋"/>
          <w:sz w:val="24"/>
        </w:rPr>
        <w:t>电视</w:t>
      </w:r>
      <w:r>
        <w:rPr>
          <w:rFonts w:eastAsia="仿宋"/>
          <w:sz w:val="24"/>
        </w:rPr>
        <w:t>XEL-1</w:t>
      </w:r>
      <w:r>
        <w:rPr>
          <w:rFonts w:eastAsia="仿宋"/>
          <w:sz w:val="24"/>
        </w:rPr>
        <w:t>，采用真空蒸镀工艺，虽然售价高达</w:t>
      </w:r>
      <w:r>
        <w:rPr>
          <w:rFonts w:eastAsia="仿宋"/>
          <w:sz w:val="24"/>
        </w:rPr>
        <w:t>2000</w:t>
      </w:r>
      <w:r>
        <w:rPr>
          <w:rFonts w:eastAsia="仿宋"/>
          <w:sz w:val="24"/>
        </w:rPr>
        <w:t>美元且尺寸仅</w:t>
      </w:r>
      <w:r>
        <w:rPr>
          <w:rFonts w:eastAsia="仿宋"/>
          <w:sz w:val="24"/>
        </w:rPr>
        <w:t>11</w:t>
      </w:r>
      <w:r>
        <w:rPr>
          <w:rFonts w:eastAsia="仿宋"/>
          <w:sz w:val="24"/>
        </w:rPr>
        <w:t>英寸，但标志着</w:t>
      </w:r>
      <w:r>
        <w:rPr>
          <w:rFonts w:eastAsia="仿宋"/>
          <w:sz w:val="24"/>
        </w:rPr>
        <w:t>OLED</w:t>
      </w:r>
      <w:r>
        <w:rPr>
          <w:rFonts w:eastAsia="仿宋"/>
          <w:sz w:val="24"/>
        </w:rPr>
        <w:t>技术开始进入高端显示市场。这一时期的技术特点主要体现在：材料体系从荧光向磷光转变，红绿磷光材料性能快速提升，材料寿命从最初的几百小时提升至数万小时。</w:t>
      </w:r>
      <w:r>
        <w:rPr>
          <w:rFonts w:eastAsia="仿宋"/>
          <w:sz w:val="24"/>
        </w:rPr>
        <w:t>2006</w:t>
      </w:r>
      <w:r>
        <w:rPr>
          <w:rFonts w:eastAsia="仿宋"/>
          <w:sz w:val="24"/>
        </w:rPr>
        <w:t>年，三星</w:t>
      </w:r>
      <w:r>
        <w:rPr>
          <w:rFonts w:eastAsia="仿宋"/>
          <w:sz w:val="24"/>
        </w:rPr>
        <w:t>SDI</w:t>
      </w:r>
      <w:r>
        <w:rPr>
          <w:rFonts w:eastAsia="仿宋"/>
          <w:sz w:val="24"/>
        </w:rPr>
        <w:t>建成首条</w:t>
      </w:r>
      <w:r>
        <w:rPr>
          <w:rFonts w:eastAsia="仿宋"/>
          <w:sz w:val="24"/>
        </w:rPr>
        <w:t>AMOLED</w:t>
      </w:r>
      <w:r>
        <w:rPr>
          <w:rFonts w:eastAsia="仿宋"/>
          <w:sz w:val="24"/>
        </w:rPr>
        <w:t>量产线，开启了主动矩阵</w:t>
      </w:r>
      <w:r>
        <w:rPr>
          <w:rFonts w:eastAsia="仿宋"/>
          <w:sz w:val="24"/>
        </w:rPr>
        <w:t>OLED</w:t>
      </w:r>
      <w:r>
        <w:rPr>
          <w:rFonts w:eastAsia="仿宋"/>
          <w:sz w:val="24"/>
        </w:rPr>
        <w:t>显示的新纪元。</w:t>
      </w:r>
    </w:p>
    <w:p w:rsidR="00000000" w:rsidRDefault="00000000">
      <w:pPr>
        <w:widowControl/>
        <w:spacing w:line="440" w:lineRule="exact"/>
        <w:ind w:firstLineChars="200" w:firstLine="480"/>
        <w:jc w:val="left"/>
        <w:rPr>
          <w:rFonts w:eastAsia="仿宋"/>
          <w:sz w:val="24"/>
        </w:rPr>
      </w:pPr>
      <w:r>
        <w:rPr>
          <w:rFonts w:eastAsia="仿宋"/>
          <w:sz w:val="24"/>
        </w:rPr>
        <w:t>三、产业化扩张与工艺优化阶段（</w:t>
      </w:r>
      <w:r>
        <w:rPr>
          <w:rFonts w:eastAsia="仿宋"/>
          <w:sz w:val="24"/>
        </w:rPr>
        <w:t>2008-2015</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lastRenderedPageBreak/>
        <w:t>2008</w:t>
      </w:r>
      <w:r>
        <w:rPr>
          <w:rFonts w:eastAsia="仿宋"/>
          <w:sz w:val="24"/>
        </w:rPr>
        <w:t>年全球金融危机后，韩国三星显示逆势加大投资，启动大规模</w:t>
      </w:r>
      <w:r>
        <w:rPr>
          <w:rFonts w:eastAsia="仿宋"/>
          <w:sz w:val="24"/>
        </w:rPr>
        <w:t>AMOLED</w:t>
      </w:r>
      <w:r>
        <w:rPr>
          <w:rFonts w:eastAsia="仿宋"/>
          <w:sz w:val="24"/>
        </w:rPr>
        <w:t>生产线建设，推动小尺寸</w:t>
      </w:r>
      <w:r>
        <w:rPr>
          <w:rFonts w:eastAsia="仿宋"/>
          <w:sz w:val="24"/>
        </w:rPr>
        <w:t>OLED</w:t>
      </w:r>
      <w:r>
        <w:rPr>
          <w:rFonts w:eastAsia="仿宋"/>
          <w:sz w:val="24"/>
        </w:rPr>
        <w:t>显示进入快速发展期。</w:t>
      </w:r>
      <w:r>
        <w:rPr>
          <w:rFonts w:eastAsia="仿宋"/>
          <w:sz w:val="24"/>
        </w:rPr>
        <w:t>2010</w:t>
      </w:r>
      <w:r>
        <w:rPr>
          <w:rFonts w:eastAsia="仿宋"/>
          <w:sz w:val="24"/>
        </w:rPr>
        <w:t>年，</w:t>
      </w:r>
      <w:r>
        <w:rPr>
          <w:rFonts w:eastAsia="仿宋"/>
          <w:sz w:val="24"/>
        </w:rPr>
        <w:t>LG Display</w:t>
      </w:r>
      <w:r>
        <w:rPr>
          <w:rFonts w:eastAsia="仿宋"/>
          <w:sz w:val="24"/>
        </w:rPr>
        <w:t>开始布局大尺寸</w:t>
      </w:r>
      <w:r>
        <w:rPr>
          <w:rFonts w:eastAsia="仿宋"/>
          <w:sz w:val="24"/>
        </w:rPr>
        <w:t>OLED</w:t>
      </w:r>
      <w:r>
        <w:rPr>
          <w:rFonts w:eastAsia="仿宋"/>
          <w:sz w:val="24"/>
        </w:rPr>
        <w:t>电视面板，采用</w:t>
      </w:r>
      <w:r>
        <w:rPr>
          <w:rFonts w:eastAsia="仿宋"/>
          <w:sz w:val="24"/>
        </w:rPr>
        <w:t>WRGB</w:t>
      </w:r>
      <w:r>
        <w:rPr>
          <w:rFonts w:eastAsia="仿宋"/>
          <w:sz w:val="24"/>
        </w:rPr>
        <w:t>技术路线，为</w:t>
      </w:r>
      <w:r>
        <w:rPr>
          <w:rFonts w:eastAsia="仿宋"/>
          <w:sz w:val="24"/>
        </w:rPr>
        <w:t>OLED</w:t>
      </w:r>
      <w:r>
        <w:rPr>
          <w:rFonts w:eastAsia="仿宋"/>
          <w:sz w:val="24"/>
        </w:rPr>
        <w:t>在大尺寸领域的应用开辟了新途径。</w:t>
      </w:r>
      <w:r>
        <w:rPr>
          <w:rFonts w:eastAsia="仿宋"/>
          <w:sz w:val="24"/>
        </w:rPr>
        <w:t>2012</w:t>
      </w:r>
      <w:r>
        <w:rPr>
          <w:rFonts w:eastAsia="仿宋"/>
          <w:sz w:val="24"/>
        </w:rPr>
        <w:t>年，中国政府出台首批</w:t>
      </w:r>
      <w:r>
        <w:rPr>
          <w:rFonts w:eastAsia="仿宋"/>
          <w:sz w:val="24"/>
        </w:rPr>
        <w:t>OLED</w:t>
      </w:r>
      <w:r>
        <w:rPr>
          <w:rFonts w:eastAsia="仿宋"/>
          <w:sz w:val="24"/>
        </w:rPr>
        <w:t>产业扶持政策，京东方、天马等国内企业纷纷启动</w:t>
      </w:r>
      <w:r>
        <w:rPr>
          <w:rFonts w:eastAsia="仿宋"/>
          <w:sz w:val="24"/>
        </w:rPr>
        <w:t>OLED</w:t>
      </w:r>
      <w:r>
        <w:rPr>
          <w:rFonts w:eastAsia="仿宋"/>
          <w:sz w:val="24"/>
        </w:rPr>
        <w:t>产线建设，全球产业格局开始发生变化。</w:t>
      </w:r>
    </w:p>
    <w:p w:rsidR="00000000" w:rsidRDefault="00000000">
      <w:pPr>
        <w:widowControl/>
        <w:spacing w:line="440" w:lineRule="exact"/>
        <w:ind w:firstLineChars="200" w:firstLine="480"/>
        <w:jc w:val="left"/>
        <w:rPr>
          <w:rFonts w:eastAsia="仿宋"/>
          <w:sz w:val="24"/>
        </w:rPr>
      </w:pPr>
      <w:r>
        <w:rPr>
          <w:rFonts w:eastAsia="仿宋"/>
          <w:sz w:val="24"/>
        </w:rPr>
        <w:t>四、市场爆发与技术多元化阶段（</w:t>
      </w:r>
      <w:r>
        <w:rPr>
          <w:rFonts w:eastAsia="仿宋"/>
          <w:sz w:val="24"/>
        </w:rPr>
        <w:t>2016-2020</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2016-2020</w:t>
      </w:r>
      <w:r>
        <w:rPr>
          <w:rFonts w:eastAsia="仿宋"/>
          <w:sz w:val="24"/>
        </w:rPr>
        <w:t>年是</w:t>
      </w:r>
      <w:r>
        <w:rPr>
          <w:rFonts w:eastAsia="仿宋"/>
          <w:sz w:val="24"/>
        </w:rPr>
        <w:t>OLED</w:t>
      </w:r>
      <w:r>
        <w:rPr>
          <w:rFonts w:eastAsia="仿宋"/>
          <w:sz w:val="24"/>
        </w:rPr>
        <w:t>产业快速扩张的黄金时期。</w:t>
      </w:r>
      <w:r>
        <w:rPr>
          <w:rFonts w:eastAsia="仿宋"/>
          <w:sz w:val="24"/>
        </w:rPr>
        <w:t>2016</w:t>
      </w:r>
      <w:r>
        <w:rPr>
          <w:rFonts w:eastAsia="仿宋"/>
          <w:sz w:val="24"/>
        </w:rPr>
        <w:t>年，苹果公司决定在</w:t>
      </w:r>
      <w:r>
        <w:rPr>
          <w:rFonts w:eastAsia="仿宋"/>
          <w:sz w:val="24"/>
        </w:rPr>
        <w:t>iPhone X</w:t>
      </w:r>
      <w:r>
        <w:rPr>
          <w:rFonts w:eastAsia="仿宋"/>
          <w:sz w:val="24"/>
        </w:rPr>
        <w:t>上采用</w:t>
      </w:r>
      <w:r>
        <w:rPr>
          <w:rFonts w:eastAsia="仿宋"/>
          <w:sz w:val="24"/>
        </w:rPr>
        <w:t>OLED</w:t>
      </w:r>
      <w:r>
        <w:rPr>
          <w:rFonts w:eastAsia="仿宋"/>
          <w:sz w:val="24"/>
        </w:rPr>
        <w:t>屏幕，这一决策极大地推动了全球</w:t>
      </w:r>
      <w:r>
        <w:rPr>
          <w:rFonts w:eastAsia="仿宋"/>
          <w:sz w:val="24"/>
        </w:rPr>
        <w:t>OLED</w:t>
      </w:r>
      <w:r>
        <w:rPr>
          <w:rFonts w:eastAsia="仿宋"/>
          <w:sz w:val="24"/>
        </w:rPr>
        <w:t>产业链的发展。</w:t>
      </w:r>
      <w:r>
        <w:rPr>
          <w:rFonts w:eastAsia="仿宋"/>
          <w:sz w:val="24"/>
        </w:rPr>
        <w:t>2017</w:t>
      </w:r>
      <w:r>
        <w:rPr>
          <w:rFonts w:eastAsia="仿宋"/>
          <w:sz w:val="24"/>
        </w:rPr>
        <w:t>年，</w:t>
      </w:r>
      <w:r>
        <w:rPr>
          <w:rFonts w:eastAsia="仿宋"/>
          <w:sz w:val="24"/>
        </w:rPr>
        <w:t>UDC</w:t>
      </w:r>
      <w:r>
        <w:rPr>
          <w:rFonts w:eastAsia="仿宋"/>
          <w:sz w:val="24"/>
        </w:rPr>
        <w:t>在蓝光磷光材料研发上取得重要突破，将蓝光器件寿命提升至</w:t>
      </w:r>
      <w:r>
        <w:rPr>
          <w:rFonts w:eastAsia="仿宋"/>
          <w:sz w:val="24"/>
        </w:rPr>
        <w:t>1000</w:t>
      </w:r>
      <w:r>
        <w:rPr>
          <w:rFonts w:eastAsia="仿宋"/>
          <w:sz w:val="24"/>
        </w:rPr>
        <w:t>小时以上。</w:t>
      </w:r>
      <w:r>
        <w:rPr>
          <w:rFonts w:eastAsia="仿宋"/>
          <w:sz w:val="24"/>
        </w:rPr>
        <w:t>2018</w:t>
      </w:r>
      <w:r>
        <w:rPr>
          <w:rFonts w:eastAsia="仿宋"/>
          <w:sz w:val="24"/>
        </w:rPr>
        <w:t>年，中国大陆</w:t>
      </w:r>
      <w:r>
        <w:rPr>
          <w:rFonts w:eastAsia="仿宋"/>
          <w:sz w:val="24"/>
        </w:rPr>
        <w:t>OLED</w:t>
      </w:r>
      <w:r>
        <w:rPr>
          <w:rFonts w:eastAsia="仿宋"/>
          <w:sz w:val="24"/>
        </w:rPr>
        <w:t>面板产能占比快速提升至</w:t>
      </w:r>
      <w:r>
        <w:rPr>
          <w:rFonts w:eastAsia="仿宋"/>
          <w:sz w:val="24"/>
        </w:rPr>
        <w:t>15%</w:t>
      </w:r>
      <w:r>
        <w:rPr>
          <w:rFonts w:eastAsia="仿宋"/>
          <w:sz w:val="24"/>
        </w:rPr>
        <w:t>，以京东方为代表的中国企业开始在国际市场崭露头角。</w:t>
      </w:r>
    </w:p>
    <w:p w:rsidR="00000000" w:rsidRDefault="00000000">
      <w:pPr>
        <w:widowControl/>
        <w:spacing w:line="440" w:lineRule="exact"/>
        <w:ind w:firstLineChars="200" w:firstLine="480"/>
        <w:jc w:val="left"/>
        <w:rPr>
          <w:rFonts w:eastAsia="仿宋"/>
          <w:sz w:val="24"/>
        </w:rPr>
      </w:pPr>
      <w:r>
        <w:rPr>
          <w:rFonts w:eastAsia="仿宋"/>
          <w:sz w:val="24"/>
        </w:rPr>
        <w:t>五、技术创新与产业升级阶段（</w:t>
      </w:r>
      <w:r>
        <w:rPr>
          <w:rFonts w:eastAsia="仿宋"/>
          <w:sz w:val="24"/>
        </w:rPr>
        <w:t>2021</w:t>
      </w:r>
      <w:r>
        <w:rPr>
          <w:rFonts w:eastAsia="仿宋"/>
          <w:sz w:val="24"/>
        </w:rPr>
        <w:t>年至今）</w:t>
      </w:r>
    </w:p>
    <w:p w:rsidR="00000000" w:rsidRDefault="00000000">
      <w:pPr>
        <w:widowControl/>
        <w:spacing w:line="440" w:lineRule="exact"/>
        <w:ind w:firstLineChars="200" w:firstLine="480"/>
        <w:jc w:val="left"/>
        <w:rPr>
          <w:rFonts w:eastAsia="仿宋"/>
          <w:sz w:val="24"/>
        </w:rPr>
      </w:pPr>
      <w:r>
        <w:rPr>
          <w:rFonts w:eastAsia="仿宋"/>
          <w:sz w:val="24"/>
        </w:rPr>
        <w:t>进入</w:t>
      </w:r>
      <w:r>
        <w:rPr>
          <w:rFonts w:eastAsia="仿宋"/>
          <w:sz w:val="24"/>
        </w:rPr>
        <w:t>2020</w:t>
      </w:r>
      <w:r>
        <w:rPr>
          <w:rFonts w:eastAsia="仿宋"/>
          <w:sz w:val="24"/>
        </w:rPr>
        <w:t>年代，</w:t>
      </w:r>
      <w:r>
        <w:rPr>
          <w:rFonts w:eastAsia="仿宋"/>
          <w:sz w:val="24"/>
        </w:rPr>
        <w:t>OLED</w:t>
      </w:r>
      <w:r>
        <w:rPr>
          <w:rFonts w:eastAsia="仿宋"/>
          <w:sz w:val="24"/>
        </w:rPr>
        <w:t>材料技术进入创新发展新阶段。</w:t>
      </w:r>
      <w:r>
        <w:rPr>
          <w:rFonts w:eastAsia="仿宋"/>
          <w:sz w:val="24"/>
        </w:rPr>
        <w:t>2021</w:t>
      </w:r>
      <w:r>
        <w:rPr>
          <w:rFonts w:eastAsia="仿宋"/>
          <w:sz w:val="24"/>
        </w:rPr>
        <w:t>年，</w:t>
      </w:r>
      <w:r>
        <w:rPr>
          <w:rFonts w:eastAsia="仿宋"/>
          <w:sz w:val="24"/>
        </w:rPr>
        <w:t>TCL</w:t>
      </w:r>
      <w:r>
        <w:rPr>
          <w:rFonts w:eastAsia="仿宋"/>
          <w:sz w:val="24"/>
        </w:rPr>
        <w:t>华星建成首条印刷</w:t>
      </w:r>
      <w:r>
        <w:rPr>
          <w:rFonts w:eastAsia="仿宋"/>
          <w:sz w:val="24"/>
        </w:rPr>
        <w:t>OLED</w:t>
      </w:r>
      <w:r>
        <w:rPr>
          <w:rFonts w:eastAsia="仿宋"/>
          <w:sz w:val="24"/>
        </w:rPr>
        <w:t>试验线，推动可溶性</w:t>
      </w:r>
      <w:r>
        <w:rPr>
          <w:rFonts w:eastAsia="仿宋"/>
          <w:sz w:val="24"/>
        </w:rPr>
        <w:t>OLED</w:t>
      </w:r>
      <w:r>
        <w:rPr>
          <w:rFonts w:eastAsia="仿宋"/>
          <w:sz w:val="24"/>
        </w:rPr>
        <w:t>材料研发进入新阶段。</w:t>
      </w:r>
      <w:r>
        <w:rPr>
          <w:rFonts w:eastAsia="仿宋"/>
          <w:sz w:val="24"/>
        </w:rPr>
        <w:t>2022</w:t>
      </w:r>
      <w:r>
        <w:rPr>
          <w:rFonts w:eastAsia="仿宋"/>
          <w:sz w:val="24"/>
        </w:rPr>
        <w:t>年，中国</w:t>
      </w:r>
      <w:r>
        <w:rPr>
          <w:rFonts w:eastAsia="仿宋"/>
          <w:sz w:val="24"/>
        </w:rPr>
        <w:t>OLED</w:t>
      </w:r>
      <w:r>
        <w:rPr>
          <w:rFonts w:eastAsia="仿宋"/>
          <w:sz w:val="24"/>
        </w:rPr>
        <w:t>材料企业莱特光电成功登陆科创板，标志着中国在</w:t>
      </w:r>
      <w:r>
        <w:rPr>
          <w:rFonts w:eastAsia="仿宋"/>
          <w:sz w:val="24"/>
        </w:rPr>
        <w:t>OLED</w:t>
      </w:r>
      <w:r>
        <w:rPr>
          <w:rFonts w:eastAsia="仿宋"/>
          <w:sz w:val="24"/>
        </w:rPr>
        <w:t>材料领域取得重要突破。</w:t>
      </w:r>
      <w:r>
        <w:rPr>
          <w:rFonts w:eastAsia="仿宋"/>
          <w:sz w:val="24"/>
        </w:rPr>
        <w:t>2023</w:t>
      </w:r>
      <w:r>
        <w:rPr>
          <w:rFonts w:eastAsia="仿宋"/>
          <w:sz w:val="24"/>
        </w:rPr>
        <w:t>年，超荧光（</w:t>
      </w:r>
      <w:r>
        <w:rPr>
          <w:rFonts w:eastAsia="仿宋"/>
          <w:sz w:val="24"/>
        </w:rPr>
        <w:t>Hyperfluorescence</w:t>
      </w:r>
      <w:r>
        <w:rPr>
          <w:rFonts w:eastAsia="仿宋"/>
          <w:sz w:val="24"/>
        </w:rPr>
        <w:t>）材料开始试产，蓝光材料寿命突破</w:t>
      </w:r>
      <w:r>
        <w:rPr>
          <w:rFonts w:eastAsia="仿宋"/>
          <w:sz w:val="24"/>
        </w:rPr>
        <w:t>2000</w:t>
      </w:r>
      <w:r>
        <w:rPr>
          <w:rFonts w:eastAsia="仿宋"/>
          <w:sz w:val="24"/>
        </w:rPr>
        <w:t>小时，为解决长期困扰业界的蓝光问题提供了新思路。</w:t>
      </w:r>
    </w:p>
    <w:p w:rsidR="00000000" w:rsidRDefault="00000000">
      <w:pPr>
        <w:pStyle w:val="2"/>
        <w:spacing w:before="156" w:after="156"/>
        <w:jc w:val="both"/>
        <w:rPr>
          <w:rFonts w:eastAsia="宋体"/>
          <w:szCs w:val="28"/>
        </w:rPr>
      </w:pPr>
      <w:bookmarkStart w:id="75" w:name="_Toc7016"/>
      <w:bookmarkStart w:id="76" w:name="_Toc16220"/>
      <w:bookmarkStart w:id="77" w:name="_Toc10130"/>
      <w:bookmarkStart w:id="78" w:name="_Toc875"/>
      <w:bookmarkStart w:id="79" w:name="_Toc24851"/>
      <w:bookmarkStart w:id="80" w:name="_Toc1770"/>
      <w:r>
        <w:rPr>
          <w:rFonts w:eastAsia="宋体"/>
          <w:szCs w:val="28"/>
        </w:rPr>
        <w:t>1.2 OLED</w:t>
      </w:r>
      <w:r>
        <w:rPr>
          <w:rFonts w:eastAsia="宋体"/>
          <w:szCs w:val="28"/>
        </w:rPr>
        <w:t>发光材料产业结构</w:t>
      </w:r>
      <w:bookmarkEnd w:id="75"/>
      <w:bookmarkEnd w:id="76"/>
      <w:bookmarkEnd w:id="77"/>
      <w:bookmarkEnd w:id="78"/>
      <w:bookmarkEnd w:id="79"/>
      <w:bookmarkEnd w:id="80"/>
    </w:p>
    <w:p w:rsidR="00000000" w:rsidRDefault="00000000">
      <w:pPr>
        <w:pStyle w:val="3"/>
        <w:spacing w:beforeLines="50" w:before="156" w:afterLines="50" w:after="156" w:line="440" w:lineRule="exact"/>
        <w:rPr>
          <w:rFonts w:eastAsia="楷体"/>
          <w:sz w:val="28"/>
        </w:rPr>
      </w:pPr>
      <w:bookmarkStart w:id="81" w:name="_Toc14771"/>
      <w:bookmarkStart w:id="82" w:name="_Toc30924"/>
      <w:bookmarkStart w:id="83" w:name="_Toc19938"/>
      <w:bookmarkStart w:id="84" w:name="_Toc26606"/>
      <w:bookmarkStart w:id="85" w:name="_Toc25783"/>
      <w:bookmarkStart w:id="86" w:name="_Toc12853"/>
      <w:r>
        <w:rPr>
          <w:rFonts w:eastAsia="楷体"/>
          <w:sz w:val="28"/>
        </w:rPr>
        <w:t>1.2.1 OLED</w:t>
      </w:r>
      <w:r>
        <w:rPr>
          <w:rFonts w:eastAsia="楷体"/>
          <w:sz w:val="28"/>
        </w:rPr>
        <w:t>发光材料定义</w:t>
      </w:r>
      <w:bookmarkEnd w:id="81"/>
      <w:bookmarkEnd w:id="82"/>
      <w:bookmarkEnd w:id="83"/>
      <w:bookmarkEnd w:id="84"/>
      <w:bookmarkEnd w:id="85"/>
      <w:bookmarkEnd w:id="86"/>
    </w:p>
    <w:p w:rsidR="00000000" w:rsidRDefault="00000000">
      <w:pPr>
        <w:widowControl/>
        <w:spacing w:line="440" w:lineRule="exact"/>
        <w:ind w:firstLineChars="200" w:firstLine="480"/>
        <w:jc w:val="left"/>
        <w:rPr>
          <w:rFonts w:eastAsia="仿宋"/>
          <w:sz w:val="24"/>
        </w:rPr>
      </w:pPr>
      <w:r>
        <w:rPr>
          <w:rFonts w:eastAsia="仿宋"/>
          <w:sz w:val="24"/>
        </w:rPr>
        <w:t>OLED</w:t>
      </w:r>
      <w:r>
        <w:rPr>
          <w:rFonts w:eastAsia="仿宋"/>
          <w:sz w:val="24"/>
        </w:rPr>
        <w:t>发光材料是指用于有机发光二极管（</w:t>
      </w:r>
      <w:r>
        <w:rPr>
          <w:rFonts w:eastAsia="仿宋"/>
          <w:sz w:val="24"/>
        </w:rPr>
        <w:t>Organic Light-Emitting Diode</w:t>
      </w:r>
      <w:r>
        <w:rPr>
          <w:rFonts w:eastAsia="仿宋"/>
          <w:sz w:val="24"/>
        </w:rPr>
        <w:t>，</w:t>
      </w:r>
      <w:r>
        <w:rPr>
          <w:rFonts w:eastAsia="仿宋"/>
          <w:sz w:val="24"/>
        </w:rPr>
        <w:t>OLED</w:t>
      </w:r>
      <w:r>
        <w:rPr>
          <w:rFonts w:eastAsia="仿宋"/>
          <w:sz w:val="24"/>
        </w:rPr>
        <w:t>）显示器件的核心功能材料，能够在电场激发下通过电子和空穴的复合产生光辐射。这类材料具有以下关键特征和分类：</w:t>
      </w:r>
    </w:p>
    <w:p w:rsidR="00000000" w:rsidRDefault="00000000">
      <w:pPr>
        <w:widowControl/>
        <w:spacing w:line="440" w:lineRule="exact"/>
        <w:ind w:firstLineChars="200" w:firstLine="480"/>
        <w:jc w:val="left"/>
        <w:rPr>
          <w:rFonts w:eastAsia="仿宋"/>
          <w:sz w:val="24"/>
        </w:rPr>
      </w:pPr>
      <w:r>
        <w:rPr>
          <w:rFonts w:eastAsia="仿宋"/>
          <w:sz w:val="24"/>
        </w:rPr>
        <w:t>1.</w:t>
      </w:r>
      <w:r>
        <w:rPr>
          <w:rFonts w:eastAsia="仿宋"/>
          <w:sz w:val="24"/>
        </w:rPr>
        <w:t>基本特性</w:t>
      </w:r>
    </w:p>
    <w:p w:rsidR="00000000" w:rsidRDefault="00000000">
      <w:pPr>
        <w:widowControl/>
        <w:spacing w:line="440" w:lineRule="exact"/>
        <w:ind w:firstLineChars="200" w:firstLine="480"/>
        <w:jc w:val="left"/>
        <w:rPr>
          <w:rFonts w:eastAsia="仿宋"/>
          <w:sz w:val="24"/>
        </w:rPr>
      </w:pPr>
      <w:r>
        <w:rPr>
          <w:rFonts w:eastAsia="仿宋"/>
          <w:sz w:val="24"/>
        </w:rPr>
        <w:t>1</w:t>
      </w:r>
      <w:r>
        <w:rPr>
          <w:rFonts w:eastAsia="仿宋"/>
          <w:sz w:val="24"/>
        </w:rPr>
        <w:t>）分子结构：由有机小分子或高分子化合物构成；</w:t>
      </w:r>
    </w:p>
    <w:p w:rsidR="00000000" w:rsidRDefault="00000000">
      <w:pPr>
        <w:widowControl/>
        <w:spacing w:line="440" w:lineRule="exact"/>
        <w:ind w:firstLineChars="200" w:firstLine="480"/>
        <w:jc w:val="left"/>
        <w:rPr>
          <w:rFonts w:eastAsia="仿宋"/>
          <w:sz w:val="24"/>
        </w:rPr>
      </w:pPr>
      <w:r>
        <w:rPr>
          <w:rFonts w:eastAsia="仿宋"/>
          <w:sz w:val="24"/>
        </w:rPr>
        <w:t>2</w:t>
      </w:r>
      <w:r>
        <w:rPr>
          <w:rFonts w:eastAsia="仿宋"/>
          <w:sz w:val="24"/>
        </w:rPr>
        <w:t>）发光机制：电致发光（电激发下的光子发射）；</w:t>
      </w:r>
    </w:p>
    <w:p w:rsidR="00000000" w:rsidRDefault="00000000">
      <w:pPr>
        <w:widowControl/>
        <w:spacing w:line="440" w:lineRule="exact"/>
        <w:ind w:firstLineChars="200" w:firstLine="480"/>
        <w:jc w:val="left"/>
        <w:rPr>
          <w:rFonts w:eastAsia="仿宋"/>
          <w:sz w:val="24"/>
        </w:rPr>
      </w:pPr>
      <w:r>
        <w:rPr>
          <w:rFonts w:eastAsia="仿宋"/>
          <w:sz w:val="24"/>
        </w:rPr>
        <w:t>3</w:t>
      </w:r>
      <w:r>
        <w:rPr>
          <w:rFonts w:eastAsia="仿宋"/>
          <w:sz w:val="24"/>
        </w:rPr>
        <w:t>）核心性能指标：包括发光效率（</w:t>
      </w:r>
      <w:r>
        <w:rPr>
          <w:rFonts w:eastAsia="仿宋"/>
          <w:sz w:val="24"/>
        </w:rPr>
        <w:t>cd/A</w:t>
      </w:r>
      <w:r>
        <w:rPr>
          <w:rFonts w:eastAsia="仿宋"/>
          <w:sz w:val="24"/>
        </w:rPr>
        <w:t>）、色纯度（</w:t>
      </w:r>
      <w:r>
        <w:rPr>
          <w:rFonts w:eastAsia="仿宋"/>
          <w:sz w:val="24"/>
        </w:rPr>
        <w:t>CIE</w:t>
      </w:r>
      <w:r>
        <w:rPr>
          <w:rFonts w:eastAsia="仿宋"/>
          <w:sz w:val="24"/>
        </w:rPr>
        <w:t>坐标）、寿命（</w:t>
      </w:r>
      <w:r>
        <w:rPr>
          <w:rFonts w:eastAsia="仿宋"/>
          <w:sz w:val="24"/>
        </w:rPr>
        <w:t>LT95</w:t>
      </w:r>
      <w:r>
        <w:rPr>
          <w:rFonts w:eastAsia="仿宋"/>
          <w:sz w:val="24"/>
        </w:rPr>
        <w:t>）和玻璃化转变温度（</w:t>
      </w:r>
      <w:r>
        <w:rPr>
          <w:rFonts w:eastAsia="仿宋"/>
          <w:sz w:val="24"/>
        </w:rPr>
        <w:t>Tg</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2.</w:t>
      </w:r>
      <w:r>
        <w:rPr>
          <w:rFonts w:eastAsia="仿宋"/>
          <w:sz w:val="24"/>
        </w:rPr>
        <w:t>材料分类体系</w:t>
      </w:r>
    </w:p>
    <w:p w:rsidR="00000000" w:rsidRDefault="00000000">
      <w:pPr>
        <w:widowControl/>
        <w:spacing w:line="440" w:lineRule="exact"/>
        <w:ind w:firstLineChars="200" w:firstLine="480"/>
        <w:jc w:val="left"/>
        <w:rPr>
          <w:rFonts w:eastAsia="仿宋"/>
          <w:sz w:val="24"/>
        </w:rPr>
      </w:pPr>
      <w:r>
        <w:rPr>
          <w:rFonts w:eastAsia="仿宋"/>
          <w:sz w:val="24"/>
        </w:rPr>
        <w:t>1</w:t>
      </w:r>
      <w:r>
        <w:rPr>
          <w:rFonts w:eastAsia="仿宋"/>
          <w:sz w:val="24"/>
        </w:rPr>
        <w:t>）按发光机制分类：</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1</w:t>
      </w:r>
      <w:r>
        <w:rPr>
          <w:rFonts w:eastAsia="仿宋"/>
          <w:sz w:val="24"/>
        </w:rPr>
        <w:t>）荧光材料：利用单重态激子发光，理论效率上限</w:t>
      </w:r>
      <w:r>
        <w:rPr>
          <w:rFonts w:eastAsia="仿宋"/>
          <w:sz w:val="24"/>
        </w:rPr>
        <w:t>25%</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lastRenderedPageBreak/>
        <w:t>（</w:t>
      </w:r>
      <w:r>
        <w:rPr>
          <w:rFonts w:eastAsia="仿宋"/>
          <w:sz w:val="24"/>
        </w:rPr>
        <w:t>2</w:t>
      </w:r>
      <w:r>
        <w:rPr>
          <w:rFonts w:eastAsia="仿宋"/>
          <w:sz w:val="24"/>
        </w:rPr>
        <w:t>）磷光材料：同时利用单重态和三重态激子，理论效率</w:t>
      </w:r>
      <w:r>
        <w:rPr>
          <w:rFonts w:eastAsia="仿宋"/>
          <w:sz w:val="24"/>
        </w:rPr>
        <w:t>100%</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3</w:t>
      </w:r>
      <w:r>
        <w:rPr>
          <w:rFonts w:eastAsia="仿宋"/>
          <w:sz w:val="24"/>
        </w:rPr>
        <w:t>）热活化延迟荧光（</w:t>
      </w:r>
      <w:r>
        <w:rPr>
          <w:rFonts w:eastAsia="仿宋"/>
          <w:sz w:val="24"/>
        </w:rPr>
        <w:t>TADF</w:t>
      </w:r>
      <w:r>
        <w:rPr>
          <w:rFonts w:eastAsia="仿宋"/>
          <w:sz w:val="24"/>
        </w:rPr>
        <w:t>）：通过反向系间窜越实现高效发光。</w:t>
      </w:r>
    </w:p>
    <w:p w:rsidR="00000000" w:rsidRDefault="00000000">
      <w:pPr>
        <w:widowControl/>
        <w:spacing w:line="440" w:lineRule="exact"/>
        <w:ind w:firstLineChars="200" w:firstLine="480"/>
        <w:jc w:val="left"/>
        <w:rPr>
          <w:rFonts w:eastAsia="仿宋"/>
          <w:sz w:val="24"/>
        </w:rPr>
      </w:pPr>
      <w:r>
        <w:rPr>
          <w:rFonts w:eastAsia="仿宋"/>
          <w:sz w:val="24"/>
        </w:rPr>
        <w:t>2</w:t>
      </w:r>
      <w:r>
        <w:rPr>
          <w:rFonts w:eastAsia="仿宋"/>
          <w:sz w:val="24"/>
        </w:rPr>
        <w:t>）按功能层分类：</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1</w:t>
      </w:r>
      <w:r>
        <w:rPr>
          <w:rFonts w:eastAsia="仿宋"/>
          <w:sz w:val="24"/>
        </w:rPr>
        <w:t>）发光层材料</w:t>
      </w:r>
    </w:p>
    <w:p w:rsidR="00000000" w:rsidRDefault="00000000">
      <w:pPr>
        <w:widowControl/>
        <w:spacing w:line="440" w:lineRule="exact"/>
        <w:ind w:firstLineChars="200" w:firstLine="480"/>
        <w:jc w:val="left"/>
        <w:rPr>
          <w:rFonts w:eastAsia="仿宋"/>
          <w:sz w:val="24"/>
        </w:rPr>
      </w:pPr>
      <w:r>
        <w:rPr>
          <w:rFonts w:eastAsia="仿宋"/>
          <w:sz w:val="24"/>
        </w:rPr>
        <w:t>作为</w:t>
      </w:r>
      <w:r>
        <w:rPr>
          <w:rFonts w:eastAsia="仿宋"/>
          <w:sz w:val="24"/>
        </w:rPr>
        <w:t>OLED</w:t>
      </w:r>
      <w:r>
        <w:rPr>
          <w:rFonts w:eastAsia="仿宋"/>
          <w:sz w:val="24"/>
        </w:rPr>
        <w:t>器件的核心功能材料，发光层材料在电场激发下通过电子</w:t>
      </w:r>
      <w:r>
        <w:rPr>
          <w:rFonts w:eastAsia="仿宋"/>
          <w:sz w:val="24"/>
        </w:rPr>
        <w:t>-</w:t>
      </w:r>
      <w:r>
        <w:rPr>
          <w:rFonts w:eastAsia="仿宋"/>
          <w:sz w:val="24"/>
        </w:rPr>
        <w:t>空穴复合产生光辐射。按发光机制可分为：</w:t>
      </w:r>
    </w:p>
    <w:p w:rsidR="00000000" w:rsidRDefault="00000000">
      <w:pPr>
        <w:widowControl/>
        <w:spacing w:line="440" w:lineRule="exact"/>
        <w:ind w:firstLineChars="200" w:firstLine="480"/>
        <w:jc w:val="left"/>
        <w:rPr>
          <w:rFonts w:eastAsia="仿宋"/>
          <w:sz w:val="24"/>
        </w:rPr>
      </w:pPr>
      <w:r>
        <w:rPr>
          <w:rFonts w:eastAsia="仿宋"/>
          <w:sz w:val="24"/>
        </w:rPr>
        <w:t>荧光材料：基于单重态激子发光，代表材料包括</w:t>
      </w:r>
      <w:r>
        <w:rPr>
          <w:rFonts w:eastAsia="仿宋"/>
          <w:sz w:val="24"/>
        </w:rPr>
        <w:t>Alq3</w:t>
      </w:r>
      <w:r>
        <w:rPr>
          <w:rFonts w:eastAsia="仿宋"/>
          <w:sz w:val="24"/>
        </w:rPr>
        <w:t>（绿光）、</w:t>
      </w:r>
      <w:r>
        <w:rPr>
          <w:rFonts w:eastAsia="仿宋"/>
          <w:sz w:val="24"/>
        </w:rPr>
        <w:t>DPVBi</w:t>
      </w:r>
      <w:r>
        <w:rPr>
          <w:rFonts w:eastAsia="仿宋"/>
          <w:sz w:val="24"/>
        </w:rPr>
        <w:t>（蓝光）等；</w:t>
      </w:r>
    </w:p>
    <w:p w:rsidR="00000000" w:rsidRDefault="00000000">
      <w:pPr>
        <w:widowControl/>
        <w:spacing w:line="440" w:lineRule="exact"/>
        <w:ind w:firstLineChars="200" w:firstLine="480"/>
        <w:jc w:val="left"/>
        <w:rPr>
          <w:rFonts w:eastAsia="仿宋"/>
          <w:sz w:val="24"/>
        </w:rPr>
      </w:pPr>
      <w:r>
        <w:rPr>
          <w:rFonts w:eastAsia="仿宋"/>
          <w:sz w:val="24"/>
        </w:rPr>
        <w:t>磷光材料：利用三重态激子发光，如</w:t>
      </w:r>
      <w:r>
        <w:rPr>
          <w:rFonts w:eastAsia="仿宋"/>
          <w:sz w:val="24"/>
        </w:rPr>
        <w:t>Ir(piq)3</w:t>
      </w:r>
      <w:r>
        <w:rPr>
          <w:rFonts w:eastAsia="仿宋"/>
          <w:sz w:val="24"/>
        </w:rPr>
        <w:t>（红光）、</w:t>
      </w:r>
      <w:r>
        <w:rPr>
          <w:rFonts w:eastAsia="仿宋"/>
          <w:sz w:val="24"/>
        </w:rPr>
        <w:t>Ir(ppy)3</w:t>
      </w:r>
      <w:r>
        <w:rPr>
          <w:rFonts w:eastAsia="仿宋"/>
          <w:sz w:val="24"/>
        </w:rPr>
        <w:t>（绿光）；</w:t>
      </w:r>
    </w:p>
    <w:p w:rsidR="00000000" w:rsidRDefault="00000000">
      <w:pPr>
        <w:widowControl/>
        <w:spacing w:line="440" w:lineRule="exact"/>
        <w:ind w:firstLineChars="200" w:firstLine="480"/>
        <w:jc w:val="left"/>
        <w:rPr>
          <w:rFonts w:eastAsia="仿宋"/>
          <w:sz w:val="24"/>
        </w:rPr>
      </w:pPr>
      <w:r>
        <w:rPr>
          <w:rFonts w:eastAsia="仿宋"/>
          <w:sz w:val="24"/>
        </w:rPr>
        <w:t>TADF</w:t>
      </w:r>
      <w:r>
        <w:rPr>
          <w:rFonts w:eastAsia="仿宋"/>
          <w:sz w:val="24"/>
        </w:rPr>
        <w:t>材料：通过热活化延迟荧光机制实现高效发光，如</w:t>
      </w:r>
      <w:r>
        <w:rPr>
          <w:rFonts w:eastAsia="仿宋"/>
          <w:sz w:val="24"/>
        </w:rPr>
        <w:t>DMAC-DPS</w:t>
      </w:r>
      <w:r>
        <w:rPr>
          <w:rFonts w:eastAsia="仿宋"/>
          <w:sz w:val="24"/>
        </w:rPr>
        <w:t>等；</w:t>
      </w:r>
    </w:p>
    <w:p w:rsidR="00000000" w:rsidRDefault="00000000">
      <w:pPr>
        <w:widowControl/>
        <w:spacing w:line="440" w:lineRule="exact"/>
        <w:ind w:firstLineChars="200" w:firstLine="480"/>
        <w:jc w:val="left"/>
        <w:rPr>
          <w:rFonts w:eastAsia="仿宋"/>
          <w:sz w:val="24"/>
        </w:rPr>
      </w:pPr>
      <w:r>
        <w:rPr>
          <w:rFonts w:eastAsia="仿宋"/>
          <w:sz w:val="24"/>
        </w:rPr>
        <w:t>关键性能指标包括发光效率（可达</w:t>
      </w:r>
      <w:r>
        <w:rPr>
          <w:rFonts w:eastAsia="仿宋"/>
          <w:sz w:val="24"/>
        </w:rPr>
        <w:t>150cd/A</w:t>
      </w:r>
      <w:r>
        <w:rPr>
          <w:rFonts w:eastAsia="仿宋"/>
          <w:sz w:val="24"/>
        </w:rPr>
        <w:t>以上）、色纯度（</w:t>
      </w:r>
      <w:r>
        <w:rPr>
          <w:rFonts w:eastAsia="仿宋"/>
          <w:sz w:val="24"/>
        </w:rPr>
        <w:t>CIEy&lt;0.2</w:t>
      </w:r>
      <w:r>
        <w:rPr>
          <w:rFonts w:eastAsia="仿宋"/>
          <w:sz w:val="24"/>
        </w:rPr>
        <w:t>）和寿命（</w:t>
      </w:r>
      <w:r>
        <w:rPr>
          <w:rFonts w:eastAsia="仿宋"/>
          <w:sz w:val="24"/>
        </w:rPr>
        <w:t>&gt;10000</w:t>
      </w:r>
      <w:r>
        <w:rPr>
          <w:rFonts w:eastAsia="仿宋"/>
          <w:sz w:val="24"/>
        </w:rPr>
        <w:t>小时）。</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2</w:t>
      </w:r>
      <w:r>
        <w:rPr>
          <w:rFonts w:eastAsia="仿宋"/>
          <w:sz w:val="24"/>
        </w:rPr>
        <w:t>）空穴功能层材料</w:t>
      </w:r>
    </w:p>
    <w:p w:rsidR="00000000" w:rsidRDefault="00000000">
      <w:pPr>
        <w:widowControl/>
        <w:spacing w:line="440" w:lineRule="exact"/>
        <w:ind w:firstLineChars="200" w:firstLine="480"/>
        <w:jc w:val="left"/>
        <w:rPr>
          <w:rFonts w:eastAsia="仿宋"/>
          <w:sz w:val="24"/>
        </w:rPr>
      </w:pPr>
      <w:r>
        <w:rPr>
          <w:rFonts w:eastAsia="仿宋"/>
          <w:sz w:val="24"/>
        </w:rPr>
        <w:t>负责空穴的注入与传输，主要包括：</w:t>
      </w:r>
    </w:p>
    <w:p w:rsidR="00000000" w:rsidRDefault="00000000">
      <w:pPr>
        <w:widowControl/>
        <w:spacing w:line="440" w:lineRule="exact"/>
        <w:ind w:firstLineChars="200" w:firstLine="480"/>
        <w:jc w:val="left"/>
        <w:rPr>
          <w:rFonts w:eastAsia="仿宋"/>
          <w:sz w:val="24"/>
        </w:rPr>
      </w:pPr>
      <w:r>
        <w:rPr>
          <w:rFonts w:eastAsia="仿宋"/>
          <w:sz w:val="24"/>
        </w:rPr>
        <w:t>空穴注入材料（</w:t>
      </w:r>
      <w:r>
        <w:rPr>
          <w:rFonts w:eastAsia="仿宋"/>
          <w:sz w:val="24"/>
        </w:rPr>
        <w:t>HIM</w:t>
      </w:r>
      <w:r>
        <w:rPr>
          <w:rFonts w:eastAsia="仿宋"/>
          <w:sz w:val="24"/>
        </w:rPr>
        <w:t>）：如</w:t>
      </w:r>
      <w:r>
        <w:rPr>
          <w:rFonts w:eastAsia="仿宋"/>
          <w:sz w:val="24"/>
        </w:rPr>
        <w:t>HAT-CN</w:t>
      </w:r>
      <w:r>
        <w:rPr>
          <w:rFonts w:eastAsia="仿宋"/>
          <w:sz w:val="24"/>
        </w:rPr>
        <w:t>、</w:t>
      </w:r>
      <w:r>
        <w:rPr>
          <w:rFonts w:eastAsia="仿宋"/>
          <w:sz w:val="24"/>
        </w:rPr>
        <w:t>MoO3</w:t>
      </w:r>
      <w:r>
        <w:rPr>
          <w:rFonts w:eastAsia="仿宋"/>
          <w:sz w:val="24"/>
        </w:rPr>
        <w:t>等金属氧化物；</w:t>
      </w:r>
    </w:p>
    <w:p w:rsidR="00000000" w:rsidRDefault="00000000">
      <w:pPr>
        <w:widowControl/>
        <w:spacing w:line="440" w:lineRule="exact"/>
        <w:ind w:firstLineChars="200" w:firstLine="480"/>
        <w:jc w:val="left"/>
        <w:rPr>
          <w:rFonts w:eastAsia="仿宋"/>
          <w:sz w:val="24"/>
        </w:rPr>
      </w:pPr>
      <w:r>
        <w:rPr>
          <w:rFonts w:eastAsia="仿宋"/>
          <w:sz w:val="24"/>
        </w:rPr>
        <w:t>空穴传输材料（</w:t>
      </w:r>
      <w:r>
        <w:rPr>
          <w:rFonts w:eastAsia="仿宋"/>
          <w:sz w:val="24"/>
        </w:rPr>
        <w:t>HTM</w:t>
      </w:r>
      <w:r>
        <w:rPr>
          <w:rFonts w:eastAsia="仿宋"/>
          <w:sz w:val="24"/>
        </w:rPr>
        <w:t>）：</w:t>
      </w:r>
      <w:r>
        <w:rPr>
          <w:rFonts w:eastAsia="仿宋"/>
          <w:sz w:val="24"/>
        </w:rPr>
        <w:t>NPB</w:t>
      </w:r>
      <w:r>
        <w:rPr>
          <w:rFonts w:eastAsia="仿宋"/>
          <w:sz w:val="24"/>
        </w:rPr>
        <w:t>（</w:t>
      </w:r>
      <w:r>
        <w:rPr>
          <w:rFonts w:eastAsia="仿宋"/>
          <w:sz w:val="24"/>
        </w:rPr>
        <w:t>N,N'-</w:t>
      </w:r>
      <w:r>
        <w:rPr>
          <w:rFonts w:eastAsia="仿宋"/>
          <w:sz w:val="24"/>
        </w:rPr>
        <w:t>二</w:t>
      </w:r>
      <w:r>
        <w:rPr>
          <w:rFonts w:eastAsia="仿宋"/>
          <w:sz w:val="24"/>
        </w:rPr>
        <w:t>(1-</w:t>
      </w:r>
      <w:r>
        <w:rPr>
          <w:rFonts w:eastAsia="仿宋"/>
          <w:sz w:val="24"/>
        </w:rPr>
        <w:t>萘基</w:t>
      </w:r>
      <w:r>
        <w:rPr>
          <w:rFonts w:eastAsia="仿宋"/>
          <w:sz w:val="24"/>
        </w:rPr>
        <w:t>)-N,N'-</w:t>
      </w:r>
      <w:r>
        <w:rPr>
          <w:rFonts w:eastAsia="仿宋"/>
          <w:sz w:val="24"/>
        </w:rPr>
        <w:t>二苯基联苯胺）等芳香胺类化合物；要求具有高迁移率（</w:t>
      </w:r>
      <w:r>
        <w:rPr>
          <w:rFonts w:eastAsia="仿宋"/>
          <w:sz w:val="24"/>
        </w:rPr>
        <w:t>&gt;10-3cm2/Vs</w:t>
      </w:r>
      <w:r>
        <w:rPr>
          <w:rFonts w:eastAsia="仿宋"/>
          <w:sz w:val="24"/>
        </w:rPr>
        <w:t>）和适宜的能级（</w:t>
      </w:r>
      <w:r>
        <w:rPr>
          <w:rFonts w:eastAsia="仿宋"/>
          <w:sz w:val="24"/>
        </w:rPr>
        <w:t>HOMO≈5.3eV</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3</w:t>
      </w:r>
      <w:r>
        <w:rPr>
          <w:rFonts w:eastAsia="仿宋"/>
          <w:sz w:val="24"/>
        </w:rPr>
        <w:t>）电子功能层材料</w:t>
      </w:r>
    </w:p>
    <w:p w:rsidR="00000000" w:rsidRDefault="00000000">
      <w:pPr>
        <w:widowControl/>
        <w:spacing w:line="440" w:lineRule="exact"/>
        <w:ind w:firstLineChars="200" w:firstLine="480"/>
        <w:jc w:val="left"/>
        <w:rPr>
          <w:rFonts w:eastAsia="仿宋"/>
          <w:sz w:val="24"/>
        </w:rPr>
      </w:pPr>
      <w:r>
        <w:rPr>
          <w:rFonts w:eastAsia="仿宋"/>
          <w:sz w:val="24"/>
        </w:rPr>
        <w:t>承担电子传输与注入功能，主要类型：</w:t>
      </w:r>
    </w:p>
    <w:p w:rsidR="00000000" w:rsidRDefault="00000000">
      <w:pPr>
        <w:widowControl/>
        <w:spacing w:line="440" w:lineRule="exact"/>
        <w:ind w:firstLineChars="200" w:firstLine="480"/>
        <w:jc w:val="left"/>
        <w:rPr>
          <w:rFonts w:eastAsia="仿宋"/>
          <w:sz w:val="24"/>
        </w:rPr>
      </w:pPr>
      <w:r>
        <w:rPr>
          <w:rFonts w:eastAsia="仿宋"/>
          <w:sz w:val="24"/>
        </w:rPr>
        <w:t>电子传输材料（</w:t>
      </w:r>
      <w:r>
        <w:rPr>
          <w:rFonts w:eastAsia="仿宋"/>
          <w:sz w:val="24"/>
        </w:rPr>
        <w:t>ETM</w:t>
      </w:r>
      <w:r>
        <w:rPr>
          <w:rFonts w:eastAsia="仿宋"/>
          <w:sz w:val="24"/>
        </w:rPr>
        <w:t>）：如</w:t>
      </w:r>
      <w:r>
        <w:rPr>
          <w:rFonts w:eastAsia="仿宋"/>
          <w:sz w:val="24"/>
        </w:rPr>
        <w:t>TPBi</w:t>
      </w:r>
      <w:r>
        <w:rPr>
          <w:rFonts w:eastAsia="仿宋"/>
          <w:sz w:val="24"/>
        </w:rPr>
        <w:t>、</w:t>
      </w:r>
      <w:r>
        <w:rPr>
          <w:rFonts w:eastAsia="仿宋"/>
          <w:sz w:val="24"/>
        </w:rPr>
        <w:t>Bphen</w:t>
      </w:r>
      <w:r>
        <w:rPr>
          <w:rFonts w:eastAsia="仿宋"/>
          <w:sz w:val="24"/>
        </w:rPr>
        <w:t>等含氮杂环化合物；</w:t>
      </w:r>
    </w:p>
    <w:p w:rsidR="00000000" w:rsidRDefault="00000000">
      <w:pPr>
        <w:widowControl/>
        <w:spacing w:line="440" w:lineRule="exact"/>
        <w:ind w:firstLineChars="200" w:firstLine="480"/>
        <w:jc w:val="left"/>
        <w:rPr>
          <w:rFonts w:eastAsia="仿宋"/>
          <w:sz w:val="24"/>
        </w:rPr>
      </w:pPr>
      <w:r>
        <w:rPr>
          <w:rFonts w:eastAsia="仿宋"/>
          <w:sz w:val="24"/>
        </w:rPr>
        <w:t>电子注入材料（</w:t>
      </w:r>
      <w:r>
        <w:rPr>
          <w:rFonts w:eastAsia="仿宋"/>
          <w:sz w:val="24"/>
        </w:rPr>
        <w:t>EIM</w:t>
      </w:r>
      <w:r>
        <w:rPr>
          <w:rFonts w:eastAsia="仿宋"/>
          <w:sz w:val="24"/>
        </w:rPr>
        <w:t>）：</w:t>
      </w:r>
      <w:r>
        <w:rPr>
          <w:rFonts w:eastAsia="仿宋"/>
          <w:sz w:val="24"/>
        </w:rPr>
        <w:t>LiF</w:t>
      </w:r>
      <w:r>
        <w:rPr>
          <w:rFonts w:eastAsia="仿宋"/>
          <w:sz w:val="24"/>
        </w:rPr>
        <w:t>、</w:t>
      </w:r>
      <w:r>
        <w:rPr>
          <w:rFonts w:eastAsia="仿宋"/>
          <w:sz w:val="24"/>
        </w:rPr>
        <w:t>Cs2CO3</w:t>
      </w:r>
      <w:r>
        <w:rPr>
          <w:rFonts w:eastAsia="仿宋"/>
          <w:sz w:val="24"/>
        </w:rPr>
        <w:t>等低功函数材料；关键特性包括高电子亲和能（</w:t>
      </w:r>
      <w:r>
        <w:rPr>
          <w:rFonts w:eastAsia="仿宋"/>
          <w:sz w:val="24"/>
        </w:rPr>
        <w:t>&gt;2.8eV</w:t>
      </w:r>
      <w:r>
        <w:rPr>
          <w:rFonts w:eastAsia="仿宋"/>
          <w:sz w:val="24"/>
        </w:rPr>
        <w:t>）和良好的成膜性。</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4</w:t>
      </w:r>
      <w:r>
        <w:rPr>
          <w:rFonts w:eastAsia="仿宋"/>
          <w:sz w:val="24"/>
        </w:rPr>
        <w:t>）界面修饰层材料</w:t>
      </w:r>
    </w:p>
    <w:p w:rsidR="00000000" w:rsidRDefault="00000000">
      <w:pPr>
        <w:widowControl/>
        <w:spacing w:line="440" w:lineRule="exact"/>
        <w:ind w:firstLineChars="200" w:firstLine="480"/>
        <w:jc w:val="left"/>
        <w:rPr>
          <w:rFonts w:eastAsia="仿宋"/>
          <w:sz w:val="24"/>
        </w:rPr>
      </w:pPr>
      <w:r>
        <w:rPr>
          <w:rFonts w:eastAsia="仿宋"/>
          <w:sz w:val="24"/>
        </w:rPr>
        <w:t>用于优化各功能层间的能级匹配和界面接触：</w:t>
      </w:r>
    </w:p>
    <w:p w:rsidR="00000000" w:rsidRDefault="00000000">
      <w:pPr>
        <w:widowControl/>
        <w:spacing w:line="440" w:lineRule="exact"/>
        <w:ind w:firstLineChars="200" w:firstLine="480"/>
        <w:jc w:val="left"/>
        <w:rPr>
          <w:rFonts w:eastAsia="仿宋"/>
          <w:sz w:val="24"/>
        </w:rPr>
      </w:pPr>
      <w:r>
        <w:rPr>
          <w:rFonts w:eastAsia="仿宋"/>
          <w:sz w:val="24"/>
        </w:rPr>
        <w:t>空穴阻挡材料（</w:t>
      </w:r>
      <w:r>
        <w:rPr>
          <w:rFonts w:eastAsia="仿宋"/>
          <w:sz w:val="24"/>
        </w:rPr>
        <w:t>HBM</w:t>
      </w:r>
      <w:r>
        <w:rPr>
          <w:rFonts w:eastAsia="仿宋"/>
          <w:sz w:val="24"/>
        </w:rPr>
        <w:t>）：如</w:t>
      </w:r>
      <w:r>
        <w:rPr>
          <w:rFonts w:eastAsia="仿宋"/>
          <w:sz w:val="24"/>
        </w:rPr>
        <w:t>BCP</w:t>
      </w:r>
      <w:r>
        <w:rPr>
          <w:rFonts w:eastAsia="仿宋"/>
          <w:sz w:val="24"/>
        </w:rPr>
        <w:t>、</w:t>
      </w:r>
      <w:r>
        <w:rPr>
          <w:rFonts w:eastAsia="仿宋"/>
          <w:sz w:val="24"/>
        </w:rPr>
        <w:t>BAlq</w:t>
      </w:r>
      <w:r>
        <w:rPr>
          <w:rFonts w:eastAsia="仿宋"/>
          <w:sz w:val="24"/>
        </w:rPr>
        <w:t>等；</w:t>
      </w:r>
    </w:p>
    <w:p w:rsidR="00000000" w:rsidRDefault="00000000">
      <w:pPr>
        <w:widowControl/>
        <w:spacing w:line="440" w:lineRule="exact"/>
        <w:ind w:firstLineChars="200" w:firstLine="480"/>
        <w:jc w:val="left"/>
        <w:rPr>
          <w:rFonts w:eastAsia="仿宋"/>
          <w:sz w:val="24"/>
        </w:rPr>
      </w:pPr>
      <w:r>
        <w:rPr>
          <w:rFonts w:eastAsia="仿宋"/>
          <w:sz w:val="24"/>
        </w:rPr>
        <w:t>电子阻挡材料（</w:t>
      </w:r>
      <w:r>
        <w:rPr>
          <w:rFonts w:eastAsia="仿宋"/>
          <w:sz w:val="24"/>
        </w:rPr>
        <w:t>EBM</w:t>
      </w:r>
      <w:r>
        <w:rPr>
          <w:rFonts w:eastAsia="仿宋"/>
          <w:sz w:val="24"/>
        </w:rPr>
        <w:t>）：如</w:t>
      </w:r>
      <w:r>
        <w:rPr>
          <w:rFonts w:eastAsia="仿宋"/>
          <w:sz w:val="24"/>
        </w:rPr>
        <w:t>TCTA</w:t>
      </w:r>
      <w:r>
        <w:rPr>
          <w:rFonts w:eastAsia="仿宋"/>
          <w:sz w:val="24"/>
        </w:rPr>
        <w:t>、</w:t>
      </w:r>
      <w:r>
        <w:rPr>
          <w:rFonts w:eastAsia="仿宋"/>
          <w:sz w:val="24"/>
        </w:rPr>
        <w:t>mCP</w:t>
      </w:r>
      <w:r>
        <w:rPr>
          <w:rFonts w:eastAsia="仿宋"/>
          <w:sz w:val="24"/>
        </w:rPr>
        <w:t>等，主要功能是调节载流子平衡，提升器件效率。</w:t>
      </w:r>
    </w:p>
    <w:p w:rsidR="00000000" w:rsidRDefault="00000000">
      <w:pPr>
        <w:pStyle w:val="3"/>
        <w:spacing w:beforeLines="50" w:before="156" w:afterLines="50" w:after="156" w:line="440" w:lineRule="exact"/>
        <w:rPr>
          <w:rFonts w:eastAsia="楷体"/>
          <w:sz w:val="28"/>
        </w:rPr>
      </w:pPr>
      <w:bookmarkStart w:id="87" w:name="_Toc12847"/>
      <w:bookmarkStart w:id="88" w:name="_Toc133415898"/>
      <w:bookmarkStart w:id="89" w:name="_Toc17987"/>
      <w:bookmarkStart w:id="90" w:name="_Toc30886"/>
      <w:bookmarkStart w:id="91" w:name="_Toc27742"/>
      <w:bookmarkStart w:id="92" w:name="_Toc12331"/>
      <w:bookmarkStart w:id="93" w:name="_Toc22181"/>
      <w:bookmarkStart w:id="94" w:name="_Toc28625"/>
      <w:bookmarkStart w:id="95" w:name="_Toc3204"/>
      <w:r>
        <w:rPr>
          <w:rFonts w:eastAsia="楷体"/>
          <w:sz w:val="28"/>
        </w:rPr>
        <w:t xml:space="preserve">1.2.2 </w:t>
      </w:r>
      <w:bookmarkEnd w:id="87"/>
      <w:bookmarkEnd w:id="88"/>
      <w:bookmarkEnd w:id="89"/>
      <w:r>
        <w:rPr>
          <w:rFonts w:eastAsia="楷体"/>
          <w:sz w:val="28"/>
        </w:rPr>
        <w:t>OLED</w:t>
      </w:r>
      <w:r>
        <w:rPr>
          <w:rFonts w:eastAsia="楷体"/>
          <w:sz w:val="28"/>
        </w:rPr>
        <w:t>发光材料产业结构及产业链与企业的关系</w:t>
      </w:r>
      <w:bookmarkEnd w:id="90"/>
      <w:bookmarkEnd w:id="91"/>
      <w:bookmarkEnd w:id="92"/>
      <w:bookmarkEnd w:id="93"/>
      <w:bookmarkEnd w:id="94"/>
      <w:bookmarkEnd w:id="95"/>
    </w:p>
    <w:p w:rsidR="00000000" w:rsidRDefault="00000000">
      <w:pPr>
        <w:widowControl/>
        <w:spacing w:line="440" w:lineRule="exact"/>
        <w:ind w:firstLineChars="200" w:firstLine="480"/>
        <w:jc w:val="left"/>
        <w:rPr>
          <w:rFonts w:eastAsia="仿宋"/>
          <w:sz w:val="24"/>
        </w:rPr>
      </w:pPr>
      <w:r>
        <w:rPr>
          <w:rFonts w:eastAsia="仿宋"/>
          <w:sz w:val="24"/>
        </w:rPr>
        <w:t>1. OLED</w:t>
      </w:r>
      <w:r>
        <w:rPr>
          <w:rFonts w:eastAsia="仿宋"/>
          <w:sz w:val="24"/>
        </w:rPr>
        <w:t>发光材料产业结构</w:t>
      </w:r>
    </w:p>
    <w:p w:rsidR="00000000" w:rsidRDefault="00000000">
      <w:pPr>
        <w:widowControl/>
        <w:spacing w:line="440" w:lineRule="exact"/>
        <w:ind w:firstLineChars="200" w:firstLine="480"/>
        <w:jc w:val="left"/>
        <w:rPr>
          <w:rFonts w:eastAsia="仿宋"/>
          <w:sz w:val="24"/>
        </w:rPr>
      </w:pPr>
      <w:r>
        <w:rPr>
          <w:rFonts w:eastAsia="仿宋"/>
          <w:sz w:val="24"/>
        </w:rPr>
        <w:t>OLED</w:t>
      </w:r>
      <w:r>
        <w:rPr>
          <w:rFonts w:eastAsia="仿宋"/>
          <w:sz w:val="24"/>
        </w:rPr>
        <w:t>发光材料产业可分为上游原材料供应、中游材料制造、下游面板应用三大环节，形成完整的产业链体系：</w:t>
      </w:r>
    </w:p>
    <w:p w:rsidR="00000000" w:rsidRDefault="00000000">
      <w:pPr>
        <w:widowControl/>
        <w:spacing w:line="440" w:lineRule="exact"/>
        <w:ind w:firstLineChars="200" w:firstLine="480"/>
        <w:jc w:val="left"/>
        <w:rPr>
          <w:rFonts w:eastAsia="仿宋"/>
          <w:sz w:val="24"/>
        </w:rPr>
      </w:pPr>
      <w:r>
        <w:rPr>
          <w:rFonts w:eastAsia="仿宋"/>
          <w:sz w:val="24"/>
        </w:rPr>
        <w:t xml:space="preserve">2. </w:t>
      </w:r>
      <w:r>
        <w:rPr>
          <w:rFonts w:eastAsia="仿宋"/>
          <w:sz w:val="24"/>
        </w:rPr>
        <w:t>产业链各环节与企业的关系</w:t>
      </w:r>
    </w:p>
    <w:p w:rsidR="00000000" w:rsidRDefault="00000000">
      <w:pPr>
        <w:widowControl/>
        <w:spacing w:line="440" w:lineRule="exact"/>
        <w:ind w:firstLineChars="200" w:firstLine="480"/>
        <w:jc w:val="left"/>
        <w:rPr>
          <w:rFonts w:eastAsia="仿宋"/>
          <w:sz w:val="24"/>
        </w:rPr>
      </w:pPr>
      <w:r>
        <w:rPr>
          <w:rFonts w:eastAsia="仿宋"/>
          <w:sz w:val="24"/>
        </w:rPr>
        <w:lastRenderedPageBreak/>
        <w:t>（</w:t>
      </w:r>
      <w:r>
        <w:rPr>
          <w:rFonts w:eastAsia="仿宋"/>
          <w:sz w:val="24"/>
        </w:rPr>
        <w:t>1</w:t>
      </w:r>
      <w:r>
        <w:rPr>
          <w:rFonts w:eastAsia="仿宋"/>
          <w:sz w:val="24"/>
        </w:rPr>
        <w:t>）上游原材料供应</w:t>
      </w:r>
    </w:p>
    <w:p w:rsidR="00000000" w:rsidRDefault="00000000">
      <w:pPr>
        <w:widowControl/>
        <w:spacing w:line="440" w:lineRule="exact"/>
        <w:ind w:firstLineChars="200" w:firstLine="480"/>
        <w:jc w:val="left"/>
        <w:rPr>
          <w:rFonts w:eastAsia="仿宋"/>
          <w:sz w:val="24"/>
        </w:rPr>
      </w:pPr>
      <w:r>
        <w:rPr>
          <w:rFonts w:eastAsia="仿宋"/>
          <w:sz w:val="24"/>
        </w:rPr>
        <w:t>材料制造商依赖上游供应商，如莱特光电需采购高纯中间体，而</w:t>
      </w:r>
      <w:r>
        <w:rPr>
          <w:rFonts w:eastAsia="仿宋"/>
          <w:sz w:val="24"/>
        </w:rPr>
        <w:t>UDC</w:t>
      </w:r>
      <w:r>
        <w:rPr>
          <w:rFonts w:eastAsia="仿宋"/>
          <w:sz w:val="24"/>
        </w:rPr>
        <w:t>则需确保铱（</w:t>
      </w:r>
      <w:r>
        <w:rPr>
          <w:rFonts w:eastAsia="仿宋"/>
          <w:sz w:val="24"/>
        </w:rPr>
        <w:t>Ir</w:t>
      </w:r>
      <w:r>
        <w:rPr>
          <w:rFonts w:eastAsia="仿宋"/>
          <w:sz w:val="24"/>
        </w:rPr>
        <w:t>）等贵金属供应稳定。</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2</w:t>
      </w:r>
      <w:r>
        <w:rPr>
          <w:rFonts w:eastAsia="仿宋"/>
          <w:sz w:val="24"/>
        </w:rPr>
        <w:t>）中游材料制造</w:t>
      </w:r>
    </w:p>
    <w:p w:rsidR="00000000" w:rsidRDefault="00000000">
      <w:pPr>
        <w:widowControl/>
        <w:spacing w:line="440" w:lineRule="exact"/>
        <w:ind w:firstLineChars="200" w:firstLine="480"/>
        <w:jc w:val="left"/>
        <w:rPr>
          <w:rFonts w:eastAsia="仿宋"/>
          <w:sz w:val="24"/>
        </w:rPr>
      </w:pPr>
      <w:r>
        <w:rPr>
          <w:rFonts w:eastAsia="仿宋"/>
          <w:sz w:val="24"/>
        </w:rPr>
        <w:t>国际巨头主导：</w:t>
      </w:r>
      <w:r>
        <w:rPr>
          <w:rFonts w:eastAsia="仿宋"/>
          <w:sz w:val="24"/>
        </w:rPr>
        <w:t>UDC</w:t>
      </w:r>
      <w:r>
        <w:rPr>
          <w:rFonts w:eastAsia="仿宋"/>
          <w:sz w:val="24"/>
        </w:rPr>
        <w:t>（磷光专利）、出光兴产（蓝光荧光）掌握核心材料。</w:t>
      </w:r>
    </w:p>
    <w:p w:rsidR="00000000" w:rsidRDefault="00000000">
      <w:pPr>
        <w:widowControl/>
        <w:spacing w:line="440" w:lineRule="exact"/>
        <w:ind w:firstLineChars="200" w:firstLine="480"/>
        <w:jc w:val="left"/>
        <w:rPr>
          <w:rFonts w:eastAsia="仿宋"/>
          <w:sz w:val="24"/>
        </w:rPr>
      </w:pPr>
      <w:r>
        <w:rPr>
          <w:rFonts w:eastAsia="仿宋"/>
          <w:sz w:val="24"/>
        </w:rPr>
        <w:t>中国企业突破：莱特光电（红光磷光）、奥来德（</w:t>
      </w:r>
      <w:r>
        <w:rPr>
          <w:rFonts w:eastAsia="仿宋"/>
          <w:sz w:val="24"/>
        </w:rPr>
        <w:t>HTL</w:t>
      </w:r>
      <w:r>
        <w:rPr>
          <w:rFonts w:eastAsia="仿宋"/>
          <w:sz w:val="24"/>
        </w:rPr>
        <w:t>材料）逐步进入供应链。</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3</w:t>
      </w:r>
      <w:r>
        <w:rPr>
          <w:rFonts w:eastAsia="仿宋"/>
          <w:sz w:val="24"/>
        </w:rPr>
        <w:t>）下游面板应用</w:t>
      </w:r>
    </w:p>
    <w:p w:rsidR="00000000" w:rsidRDefault="00000000">
      <w:pPr>
        <w:widowControl/>
        <w:spacing w:line="440" w:lineRule="exact"/>
        <w:ind w:firstLineChars="200" w:firstLine="480"/>
        <w:jc w:val="left"/>
        <w:rPr>
          <w:rFonts w:eastAsia="仿宋"/>
          <w:sz w:val="24"/>
        </w:rPr>
      </w:pPr>
      <w:r>
        <w:rPr>
          <w:rFonts w:eastAsia="仿宋"/>
          <w:sz w:val="24"/>
        </w:rPr>
        <w:t>面板厂与材料商深度绑定：三星与</w:t>
      </w:r>
      <w:r>
        <w:rPr>
          <w:rFonts w:eastAsia="仿宋"/>
          <w:sz w:val="24"/>
        </w:rPr>
        <w:t>UDC</w:t>
      </w:r>
      <w:r>
        <w:rPr>
          <w:rFonts w:eastAsia="仿宋"/>
          <w:sz w:val="24"/>
        </w:rPr>
        <w:t>、京东方与莱特光电建立稳定供应关系。</w:t>
      </w:r>
    </w:p>
    <w:p w:rsidR="00000000" w:rsidRDefault="00000000">
      <w:pPr>
        <w:widowControl/>
        <w:spacing w:line="440" w:lineRule="exact"/>
        <w:ind w:firstLineChars="200" w:firstLine="480"/>
        <w:jc w:val="left"/>
        <w:rPr>
          <w:rFonts w:eastAsia="仿宋"/>
          <w:sz w:val="24"/>
        </w:rPr>
      </w:pPr>
      <w:r>
        <w:rPr>
          <w:rFonts w:eastAsia="仿宋"/>
          <w:sz w:val="24"/>
        </w:rPr>
        <w:t>终端品牌影响技术路线：苹果要求高性能材料，推动</w:t>
      </w:r>
      <w:r>
        <w:rPr>
          <w:rFonts w:eastAsia="仿宋"/>
          <w:sz w:val="24"/>
        </w:rPr>
        <w:t>UDC</w:t>
      </w:r>
      <w:r>
        <w:rPr>
          <w:rFonts w:eastAsia="仿宋"/>
          <w:sz w:val="24"/>
        </w:rPr>
        <w:t>磷光材料需求。</w:t>
      </w:r>
    </w:p>
    <w:p w:rsidR="00000000" w:rsidRDefault="00000000">
      <w:pPr>
        <w:pStyle w:val="2"/>
        <w:spacing w:before="156" w:after="156"/>
        <w:jc w:val="both"/>
        <w:rPr>
          <w:rFonts w:eastAsia="宋体"/>
          <w:sz w:val="30"/>
          <w:szCs w:val="30"/>
        </w:rPr>
      </w:pPr>
      <w:bookmarkStart w:id="96" w:name="_Toc31039"/>
      <w:bookmarkStart w:id="97" w:name="_Toc21842"/>
      <w:bookmarkStart w:id="98" w:name="_Toc21871"/>
      <w:bookmarkStart w:id="99" w:name="_Toc18677"/>
      <w:bookmarkStart w:id="100" w:name="_Toc32117"/>
      <w:bookmarkStart w:id="101" w:name="_Toc9203"/>
      <w:bookmarkStart w:id="102" w:name="_Toc17700"/>
      <w:bookmarkStart w:id="103" w:name="_Toc1933"/>
      <w:bookmarkStart w:id="104" w:name="_Toc133415900"/>
      <w:r>
        <w:rPr>
          <w:rFonts w:eastAsia="宋体"/>
          <w:sz w:val="30"/>
          <w:szCs w:val="30"/>
        </w:rPr>
        <w:t xml:space="preserve">1.3 </w:t>
      </w:r>
      <w:r>
        <w:rPr>
          <w:rFonts w:eastAsia="宋体"/>
          <w:sz w:val="30"/>
          <w:szCs w:val="30"/>
        </w:rPr>
        <w:t>吉林省</w:t>
      </w:r>
      <w:r>
        <w:rPr>
          <w:rFonts w:eastAsia="宋体"/>
          <w:sz w:val="30"/>
          <w:szCs w:val="30"/>
        </w:rPr>
        <w:t>OLED</w:t>
      </w:r>
      <w:r>
        <w:rPr>
          <w:rFonts w:eastAsia="宋体"/>
          <w:sz w:val="30"/>
          <w:szCs w:val="30"/>
        </w:rPr>
        <w:t>发光材料产业现状及问题</w:t>
      </w:r>
      <w:bookmarkEnd w:id="96"/>
      <w:bookmarkEnd w:id="97"/>
      <w:bookmarkEnd w:id="98"/>
      <w:bookmarkEnd w:id="99"/>
      <w:bookmarkEnd w:id="100"/>
      <w:bookmarkEnd w:id="101"/>
      <w:bookmarkEnd w:id="102"/>
      <w:bookmarkEnd w:id="103"/>
      <w:bookmarkEnd w:id="104"/>
    </w:p>
    <w:p w:rsidR="00000000" w:rsidRDefault="00000000">
      <w:pPr>
        <w:widowControl/>
        <w:spacing w:line="440" w:lineRule="exact"/>
        <w:ind w:firstLineChars="200" w:firstLine="480"/>
        <w:jc w:val="left"/>
        <w:rPr>
          <w:rFonts w:eastAsia="仿宋"/>
          <w:sz w:val="24"/>
        </w:rPr>
      </w:pPr>
      <w:r>
        <w:rPr>
          <w:rFonts w:eastAsia="仿宋"/>
          <w:sz w:val="24"/>
        </w:rPr>
        <w:t>吉林省</w:t>
      </w:r>
      <w:r>
        <w:rPr>
          <w:rFonts w:eastAsia="仿宋"/>
          <w:sz w:val="24"/>
        </w:rPr>
        <w:t>OLED</w:t>
      </w:r>
      <w:r>
        <w:rPr>
          <w:rFonts w:eastAsia="仿宋"/>
          <w:sz w:val="24"/>
        </w:rPr>
        <w:t>发光材料产业已形成以吉林省为核心的产业集群，主要企业包括吉林奥来德和长春海谱润斯等领军企业。奥来德作为国内</w:t>
      </w:r>
      <w:r>
        <w:rPr>
          <w:rFonts w:eastAsia="仿宋"/>
          <w:sz w:val="24"/>
        </w:rPr>
        <w:t>OLED</w:t>
      </w:r>
      <w:r>
        <w:rPr>
          <w:rFonts w:eastAsia="仿宋"/>
          <w:sz w:val="24"/>
        </w:rPr>
        <w:t>材料领域头部企业，其磷光材料和薄膜封装材料性能已达国际水平。长春海谱润斯则专注于</w:t>
      </w:r>
      <w:r>
        <w:rPr>
          <w:rFonts w:eastAsia="仿宋"/>
          <w:sz w:val="24"/>
        </w:rPr>
        <w:t>OLED</w:t>
      </w:r>
      <w:r>
        <w:rPr>
          <w:rFonts w:eastAsia="仿宋"/>
          <w:sz w:val="24"/>
        </w:rPr>
        <w:t>蒸镀材料国产化，产品已进入京东方、华星光电等供应链。长春北湖精细化工新材料产业示范园已形成</w:t>
      </w:r>
      <w:r>
        <w:rPr>
          <w:rFonts w:eastAsia="仿宋" w:hint="eastAsia"/>
          <w:sz w:val="24"/>
        </w:rPr>
        <w:t>“</w:t>
      </w:r>
      <w:r>
        <w:rPr>
          <w:rFonts w:eastAsia="仿宋"/>
          <w:sz w:val="24"/>
        </w:rPr>
        <w:t>材料</w:t>
      </w:r>
      <w:r>
        <w:rPr>
          <w:rFonts w:eastAsia="仿宋"/>
          <w:sz w:val="24"/>
        </w:rPr>
        <w:t>-</w:t>
      </w:r>
      <w:r>
        <w:rPr>
          <w:rFonts w:eastAsia="仿宋"/>
          <w:sz w:val="24"/>
        </w:rPr>
        <w:t>面板</w:t>
      </w:r>
      <w:r>
        <w:rPr>
          <w:rFonts w:eastAsia="仿宋"/>
          <w:sz w:val="24"/>
        </w:rPr>
        <w:t>-</w:t>
      </w:r>
      <w:r>
        <w:rPr>
          <w:rFonts w:eastAsia="仿宋"/>
          <w:sz w:val="24"/>
        </w:rPr>
        <w:t>终端</w:t>
      </w:r>
      <w:r>
        <w:rPr>
          <w:rFonts w:eastAsia="仿宋" w:hint="eastAsia"/>
          <w:sz w:val="24"/>
        </w:rPr>
        <w:t>”</w:t>
      </w:r>
      <w:r>
        <w:rPr>
          <w:rFonts w:eastAsia="仿宋"/>
          <w:sz w:val="24"/>
        </w:rPr>
        <w:t>完整产业链，与京东方、</w:t>
      </w:r>
      <w:r>
        <w:rPr>
          <w:rFonts w:eastAsia="仿宋"/>
          <w:sz w:val="24"/>
        </w:rPr>
        <w:t>TCL</w:t>
      </w:r>
      <w:r>
        <w:rPr>
          <w:rFonts w:eastAsia="仿宋"/>
          <w:sz w:val="24"/>
        </w:rPr>
        <w:t>华星等面板厂商建立了深度合作关系。</w:t>
      </w:r>
    </w:p>
    <w:p w:rsidR="00000000" w:rsidRDefault="00000000">
      <w:pPr>
        <w:widowControl/>
        <w:spacing w:line="440" w:lineRule="exact"/>
        <w:ind w:firstLineChars="200" w:firstLine="480"/>
        <w:jc w:val="left"/>
        <w:rPr>
          <w:rFonts w:eastAsia="仿宋"/>
          <w:sz w:val="28"/>
          <w:szCs w:val="28"/>
        </w:rPr>
      </w:pPr>
      <w:r>
        <w:rPr>
          <w:rFonts w:eastAsia="仿宋"/>
          <w:sz w:val="24"/>
        </w:rPr>
        <w:t>当前吉林省</w:t>
      </w:r>
      <w:r>
        <w:rPr>
          <w:rFonts w:eastAsia="仿宋"/>
          <w:sz w:val="24"/>
        </w:rPr>
        <w:t>OLED</w:t>
      </w:r>
      <w:r>
        <w:rPr>
          <w:rFonts w:eastAsia="仿宋"/>
          <w:sz w:val="24"/>
        </w:rPr>
        <w:t>产业面临多重发展瓶颈。在技术层面，蓝光磷光材料寿命仅</w:t>
      </w:r>
      <w:r>
        <w:rPr>
          <w:rFonts w:eastAsia="仿宋"/>
          <w:sz w:val="24"/>
        </w:rPr>
        <w:t>2000</w:t>
      </w:r>
      <w:r>
        <w:rPr>
          <w:rFonts w:eastAsia="仿宋"/>
          <w:sz w:val="24"/>
        </w:rPr>
        <w:t>小时，核心专利被</w:t>
      </w:r>
      <w:r>
        <w:rPr>
          <w:rFonts w:eastAsia="仿宋"/>
          <w:sz w:val="24"/>
        </w:rPr>
        <w:t>UDC</w:t>
      </w:r>
      <w:r>
        <w:rPr>
          <w:rFonts w:eastAsia="仿宋"/>
          <w:sz w:val="24"/>
        </w:rPr>
        <w:t>等国际巨头垄断；部分关键中间体仍需进口，供应链存在风险。在专利方面，国际企业掌握磷光材料核心专利，国内企业需支付高昂授权费，在新兴材料领域专利布局仍显不足。量产工艺方面，材料纯度要求极高，蒸镀工艺良率提升困难，印刷</w:t>
      </w:r>
      <w:r>
        <w:rPr>
          <w:rFonts w:eastAsia="仿宋"/>
          <w:sz w:val="24"/>
        </w:rPr>
        <w:t>OLED</w:t>
      </w:r>
      <w:r>
        <w:rPr>
          <w:rFonts w:eastAsia="仿宋"/>
          <w:sz w:val="24"/>
        </w:rPr>
        <w:t>材料尚未实现规模化量产。此外，还面临高端人才短缺和研发资金不足等挑战。</w:t>
      </w:r>
    </w:p>
    <w:p w:rsidR="00000000" w:rsidRDefault="00000000">
      <w:pPr>
        <w:spacing w:line="480" w:lineRule="exact"/>
        <w:ind w:firstLineChars="200" w:firstLine="560"/>
        <w:rPr>
          <w:rFonts w:eastAsia="仿宋"/>
          <w:sz w:val="28"/>
          <w:szCs w:val="28"/>
        </w:rPr>
        <w:sectPr w:rsidR="00000000">
          <w:headerReference w:type="default" r:id="rId11"/>
          <w:footerReference w:type="default" r:id="rId12"/>
          <w:pgSz w:w="11906" w:h="16838"/>
          <w:pgMar w:top="1417" w:right="1417" w:bottom="1417" w:left="1417"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rsidR="00000000" w:rsidRDefault="00000000">
      <w:pPr>
        <w:pStyle w:val="1"/>
        <w:spacing w:before="312" w:after="312"/>
        <w:rPr>
          <w:sz w:val="32"/>
          <w:szCs w:val="32"/>
        </w:rPr>
      </w:pPr>
      <w:bookmarkStart w:id="105" w:name="_Toc2173"/>
      <w:bookmarkStart w:id="106" w:name="_Toc10511"/>
      <w:bookmarkStart w:id="107" w:name="_Toc30229"/>
      <w:bookmarkStart w:id="108" w:name="_Toc28591"/>
      <w:bookmarkStart w:id="109" w:name="_Toc6107"/>
      <w:bookmarkStart w:id="110" w:name="_Toc25648"/>
      <w:bookmarkStart w:id="111" w:name="_Toc133415903"/>
      <w:bookmarkStart w:id="112" w:name="_Toc11713"/>
      <w:bookmarkStart w:id="113" w:name="_Toc14680"/>
      <w:bookmarkEnd w:id="25"/>
      <w:bookmarkEnd w:id="26"/>
      <w:bookmarkEnd w:id="27"/>
      <w:bookmarkEnd w:id="28"/>
      <w:bookmarkEnd w:id="29"/>
      <w:r>
        <w:rPr>
          <w:sz w:val="32"/>
          <w:szCs w:val="32"/>
        </w:rPr>
        <w:lastRenderedPageBreak/>
        <w:t>第二章</w:t>
      </w:r>
      <w:r>
        <w:rPr>
          <w:sz w:val="32"/>
          <w:szCs w:val="32"/>
        </w:rPr>
        <w:t xml:space="preserve"> OLED</w:t>
      </w:r>
      <w:r>
        <w:rPr>
          <w:sz w:val="32"/>
          <w:szCs w:val="32"/>
        </w:rPr>
        <w:t>发光材料产业研究方法</w:t>
      </w:r>
      <w:bookmarkEnd w:id="105"/>
      <w:bookmarkEnd w:id="106"/>
      <w:bookmarkEnd w:id="107"/>
      <w:bookmarkEnd w:id="108"/>
      <w:bookmarkEnd w:id="109"/>
      <w:bookmarkEnd w:id="110"/>
      <w:bookmarkEnd w:id="111"/>
      <w:bookmarkEnd w:id="112"/>
      <w:bookmarkEnd w:id="113"/>
    </w:p>
    <w:p w:rsidR="00000000" w:rsidRDefault="00000000">
      <w:pPr>
        <w:pStyle w:val="2"/>
        <w:spacing w:before="156" w:after="156"/>
        <w:jc w:val="both"/>
        <w:rPr>
          <w:rFonts w:eastAsia="宋体"/>
          <w:szCs w:val="28"/>
        </w:rPr>
      </w:pPr>
      <w:bookmarkStart w:id="114" w:name="_Toc18018"/>
      <w:bookmarkStart w:id="115" w:name="_Toc4813"/>
      <w:bookmarkStart w:id="116" w:name="_Toc487814593"/>
      <w:bookmarkStart w:id="117" w:name="_Toc2919"/>
      <w:bookmarkStart w:id="118" w:name="_Toc123295148"/>
      <w:bookmarkStart w:id="119" w:name="_Toc28736"/>
      <w:bookmarkStart w:id="120" w:name="_Toc15917"/>
      <w:bookmarkStart w:id="121" w:name="_Toc17865"/>
      <w:bookmarkStart w:id="122" w:name="_Toc25959"/>
      <w:bookmarkStart w:id="123" w:name="_Toc133415904"/>
      <w:bookmarkStart w:id="124" w:name="_Toc30733"/>
      <w:bookmarkStart w:id="125" w:name="_Toc31275"/>
      <w:bookmarkStart w:id="126" w:name="_Toc113454152"/>
      <w:bookmarkStart w:id="127" w:name="_Toc1415"/>
      <w:bookmarkStart w:id="128" w:name="_Toc25864"/>
      <w:bookmarkStart w:id="129" w:name="_Toc15666"/>
      <w:bookmarkStart w:id="130" w:name="_Toc28572"/>
      <w:r>
        <w:rPr>
          <w:rFonts w:eastAsia="宋体"/>
          <w:szCs w:val="28"/>
        </w:rPr>
        <w:t xml:space="preserve">2.1 </w:t>
      </w:r>
      <w:r>
        <w:rPr>
          <w:rFonts w:eastAsia="宋体"/>
          <w:szCs w:val="28"/>
        </w:rPr>
        <w:t>研究方法</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000000" w:rsidRDefault="00000000">
      <w:pPr>
        <w:widowControl/>
        <w:spacing w:line="440" w:lineRule="exact"/>
        <w:ind w:firstLineChars="200" w:firstLine="480"/>
        <w:jc w:val="left"/>
        <w:rPr>
          <w:rFonts w:eastAsia="仿宋"/>
          <w:sz w:val="24"/>
        </w:rPr>
      </w:pPr>
      <w:r>
        <w:rPr>
          <w:rFonts w:eastAsia="仿宋"/>
          <w:sz w:val="24"/>
        </w:rPr>
        <w:t>根据不同的研究目的，</w:t>
      </w:r>
      <w:r>
        <w:rPr>
          <w:rFonts w:eastAsia="仿宋"/>
          <w:sz w:val="24"/>
        </w:rPr>
        <w:t>OLED</w:t>
      </w:r>
      <w:r>
        <w:rPr>
          <w:rFonts w:eastAsia="仿宋"/>
          <w:sz w:val="24"/>
        </w:rPr>
        <w:t>发光材料产业技术在业界具有不同的分类方式，对于专利信息分析来说，客观上同样要求在明确的技术分类和清晰的技术边界之下进行。只有明确了对</w:t>
      </w:r>
      <w:r>
        <w:rPr>
          <w:rFonts w:eastAsia="仿宋"/>
          <w:sz w:val="24"/>
        </w:rPr>
        <w:t>OLED</w:t>
      </w:r>
      <w:r>
        <w:rPr>
          <w:rFonts w:eastAsia="仿宋"/>
          <w:sz w:val="24"/>
        </w:rPr>
        <w:t>发光材料产业技术各个分支的技术分类，才可能有针对性的进行研究和分析；同样，只有了解了清晰的技术边界，才可能将属于</w:t>
      </w:r>
      <w:r>
        <w:rPr>
          <w:rFonts w:eastAsia="仿宋"/>
          <w:sz w:val="24"/>
        </w:rPr>
        <w:t>OLED</w:t>
      </w:r>
      <w:r>
        <w:rPr>
          <w:rFonts w:eastAsia="仿宋"/>
          <w:sz w:val="24"/>
        </w:rPr>
        <w:t>发光材料产业技术的专利技术从海量的专利技术文献中检索出来，并作为分析的数据基础。</w:t>
      </w:r>
    </w:p>
    <w:p w:rsidR="00000000" w:rsidRDefault="00000000">
      <w:pPr>
        <w:widowControl/>
        <w:spacing w:line="440" w:lineRule="exact"/>
        <w:ind w:firstLineChars="200" w:firstLine="480"/>
        <w:jc w:val="left"/>
        <w:rPr>
          <w:rFonts w:eastAsia="仿宋"/>
          <w:sz w:val="24"/>
          <w:lang w:val="en-US" w:eastAsia="zh-CN"/>
        </w:rPr>
      </w:pPr>
      <w:r>
        <w:rPr>
          <w:rFonts w:eastAsia="仿宋"/>
          <w:sz w:val="24"/>
        </w:rPr>
        <w:t>因此，必须在充分考虑企业关注的技术分类标准上、结合目前产业技术分类及专利信息分析对技术分类的要求的基础上，形成</w:t>
      </w:r>
      <w:r>
        <w:rPr>
          <w:rFonts w:eastAsia="仿宋"/>
          <w:sz w:val="24"/>
        </w:rPr>
        <w:t>OLED</w:t>
      </w:r>
      <w:r>
        <w:rPr>
          <w:rFonts w:eastAsia="仿宋"/>
          <w:sz w:val="24"/>
        </w:rPr>
        <w:t>发光材料产业技术分类体系，并且提出一种结合了科学性和可行性的</w:t>
      </w:r>
      <w:r>
        <w:rPr>
          <w:rFonts w:eastAsia="仿宋"/>
          <w:sz w:val="24"/>
        </w:rPr>
        <w:t>OLED</w:t>
      </w:r>
      <w:r>
        <w:rPr>
          <w:rFonts w:eastAsia="仿宋"/>
          <w:sz w:val="24"/>
        </w:rPr>
        <w:t>发光材料专利技术界定标准，从而为本次专利分析的研究工作扫清障碍，这也正是分析工作研究初期确定技术分类和技术界定标准的重要意义所在。</w:t>
      </w:r>
    </w:p>
    <w:p w:rsidR="00000000" w:rsidRDefault="00000000">
      <w:pPr>
        <w:widowControl/>
        <w:spacing w:line="440" w:lineRule="exact"/>
        <w:ind w:firstLineChars="200" w:firstLine="480"/>
        <w:jc w:val="left"/>
        <w:rPr>
          <w:rFonts w:eastAsia="仿宋"/>
          <w:sz w:val="24"/>
        </w:rPr>
      </w:pPr>
      <w:r>
        <w:rPr>
          <w:rFonts w:eastAsia="仿宋"/>
          <w:sz w:val="24"/>
        </w:rPr>
        <w:t>经过前期的技术和产业现状调研，对</w:t>
      </w:r>
      <w:r>
        <w:rPr>
          <w:rFonts w:eastAsia="仿宋"/>
          <w:sz w:val="24"/>
        </w:rPr>
        <w:t>OLED</w:t>
      </w:r>
      <w:r>
        <w:rPr>
          <w:rFonts w:eastAsia="仿宋"/>
          <w:sz w:val="24"/>
        </w:rPr>
        <w:t>发光材料产业技术有了全面的认识。在此基础上，课题组与相关单位、高校代表、技术专家进行了</w:t>
      </w:r>
      <w:r>
        <w:rPr>
          <w:rFonts w:eastAsia="仿宋"/>
          <w:sz w:val="24"/>
        </w:rPr>
        <w:t>OLED</w:t>
      </w:r>
      <w:r>
        <w:rPr>
          <w:rFonts w:eastAsia="仿宋"/>
          <w:sz w:val="24"/>
        </w:rPr>
        <w:t>发光材料产业技术分解的研讨，最终形成了更为详尽的技术分解表，参见表</w:t>
      </w:r>
      <w:r>
        <w:rPr>
          <w:rFonts w:eastAsia="仿宋"/>
          <w:sz w:val="24"/>
        </w:rPr>
        <w:t>2-1-1</w:t>
      </w:r>
      <w:r>
        <w:rPr>
          <w:rFonts w:eastAsia="仿宋"/>
          <w:sz w:val="24"/>
        </w:rPr>
        <w:t>。</w:t>
      </w:r>
    </w:p>
    <w:p w:rsidR="00000000" w:rsidRDefault="00000000">
      <w:pPr>
        <w:spacing w:line="480" w:lineRule="exact"/>
        <w:jc w:val="center"/>
        <w:rPr>
          <w:rFonts w:eastAsia="仿宋"/>
          <w:sz w:val="24"/>
        </w:rPr>
      </w:pPr>
      <w:r>
        <w:rPr>
          <w:rFonts w:eastAsia="仿宋"/>
          <w:sz w:val="24"/>
        </w:rPr>
        <w:t>表</w:t>
      </w:r>
      <w:r>
        <w:rPr>
          <w:rFonts w:eastAsia="仿宋"/>
          <w:sz w:val="24"/>
        </w:rPr>
        <w:t>2-1-1 OLED</w:t>
      </w:r>
      <w:r>
        <w:rPr>
          <w:rFonts w:eastAsia="仿宋"/>
          <w:sz w:val="24"/>
        </w:rPr>
        <w:t>发光材料技术分解表</w:t>
      </w:r>
    </w:p>
    <w:tbl>
      <w:tblPr>
        <w:tblStyle w:val="af0"/>
        <w:tblpPr w:leftFromText="180" w:rightFromText="180" w:vertAnchor="text" w:horzAnchor="page" w:tblpX="1718" w:tblpY="312"/>
        <w:tblOverlap w:val="never"/>
        <w:tblW w:w="0" w:type="auto"/>
        <w:tblInd w:w="0" w:type="dxa"/>
        <w:tblLook w:val="0000" w:firstRow="0" w:lastRow="0" w:firstColumn="0" w:lastColumn="0" w:noHBand="0" w:noVBand="0"/>
      </w:tblPr>
      <w:tblGrid>
        <w:gridCol w:w="2195"/>
        <w:gridCol w:w="2195"/>
        <w:gridCol w:w="2195"/>
        <w:gridCol w:w="2196"/>
      </w:tblGrid>
      <w:tr w:rsidR="00000000">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rPr>
            </w:pPr>
            <w:r>
              <w:rPr>
                <w:rFonts w:eastAsia="仿宋"/>
                <w:sz w:val="24"/>
                <w:shd w:val="clear" w:color="auto" w:fill="FFFFFF"/>
                <w:lang w:bidi="ar"/>
              </w:rPr>
              <w:t>一级分支</w:t>
            </w: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rPr>
            </w:pPr>
            <w:r>
              <w:rPr>
                <w:rFonts w:eastAsia="仿宋"/>
                <w:sz w:val="24"/>
                <w:shd w:val="clear" w:color="auto" w:fill="FFFFFF"/>
                <w:lang w:bidi="ar"/>
              </w:rPr>
              <w:t>二级分支</w:t>
            </w: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rPr>
            </w:pPr>
            <w:r>
              <w:rPr>
                <w:rFonts w:eastAsia="仿宋"/>
                <w:sz w:val="24"/>
                <w:shd w:val="clear" w:color="auto" w:fill="FFFFFF"/>
                <w:lang w:bidi="ar"/>
              </w:rPr>
              <w:t>三级分支</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rPr>
            </w:pPr>
            <w:r>
              <w:rPr>
                <w:rFonts w:eastAsia="仿宋"/>
                <w:sz w:val="24"/>
                <w:shd w:val="clear" w:color="auto" w:fill="FFFFFF"/>
                <w:lang w:bidi="ar"/>
              </w:rPr>
              <w:t>四级分支</w:t>
            </w:r>
          </w:p>
        </w:tc>
      </w:tr>
      <w:tr w:rsidR="00000000">
        <w:trPr>
          <w:trHeight w:val="624"/>
        </w:trPr>
        <w:tc>
          <w:tcPr>
            <w:tcW w:w="2195" w:type="dxa"/>
            <w:vMerge w:val="restart"/>
            <w:tcBorders>
              <w:top w:val="single" w:sz="4" w:space="0" w:color="auto"/>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OLED</w:t>
            </w:r>
            <w:r>
              <w:rPr>
                <w:rFonts w:eastAsia="仿宋"/>
                <w:sz w:val="24"/>
                <w:shd w:val="clear" w:color="auto" w:fill="FFFFFF"/>
                <w:lang w:bidi="ar"/>
              </w:rPr>
              <w:t>发光材料</w:t>
            </w:r>
          </w:p>
        </w:tc>
        <w:tc>
          <w:tcPr>
            <w:tcW w:w="2195"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发光层</w:t>
            </w:r>
          </w:p>
        </w:tc>
        <w:tc>
          <w:tcPr>
            <w:tcW w:w="2195"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主体材料</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单极性主体</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双极性主体</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TADF</w:t>
            </w:r>
            <w:r>
              <w:rPr>
                <w:rFonts w:eastAsia="仿宋"/>
                <w:sz w:val="24"/>
                <w:shd w:val="clear" w:color="auto" w:fill="FFFFFF"/>
                <w:lang w:bidi="ar"/>
              </w:rPr>
              <w:t>主体</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ind w:firstLineChars="200" w:firstLine="480"/>
              <w:jc w:val="center"/>
              <w:rPr>
                <w:rFonts w:eastAsia="仿宋"/>
                <w:sz w:val="24"/>
                <w:shd w:val="clear" w:color="auto" w:fill="FFFFFF"/>
                <w:lang w:bidi="ar"/>
              </w:rPr>
            </w:pPr>
            <w:r>
              <w:rPr>
                <w:rFonts w:eastAsia="仿宋"/>
                <w:sz w:val="24"/>
                <w:shd w:val="clear" w:color="auto" w:fill="FFFFFF"/>
                <w:lang w:bidi="ar"/>
              </w:rPr>
              <w:t>掺杂材料</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荧光掺杂剂</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磷光掺杂剂</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ind w:firstLineChars="100" w:firstLine="240"/>
              <w:jc w:val="center"/>
              <w:rPr>
                <w:rFonts w:eastAsia="仿宋"/>
                <w:sz w:val="24"/>
                <w:shd w:val="clear" w:color="auto" w:fill="FFFFFF"/>
                <w:lang w:bidi="ar"/>
              </w:rPr>
            </w:pPr>
            <w:r>
              <w:rPr>
                <w:rFonts w:eastAsia="仿宋"/>
                <w:sz w:val="24"/>
                <w:shd w:val="clear" w:color="auto" w:fill="FFFFFF"/>
                <w:lang w:bidi="ar"/>
              </w:rPr>
              <w:t>TADF</w:t>
            </w:r>
            <w:r>
              <w:rPr>
                <w:rFonts w:eastAsia="仿宋"/>
                <w:sz w:val="24"/>
                <w:shd w:val="clear" w:color="auto" w:fill="FFFFFF"/>
                <w:lang w:bidi="ar"/>
              </w:rPr>
              <w:t>掺杂剂</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val="restart"/>
            <w:tcBorders>
              <w:top w:val="single" w:sz="4" w:space="0" w:color="auto"/>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空穴功能层</w:t>
            </w: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空穴注入层（</w:t>
            </w:r>
            <w:r>
              <w:rPr>
                <w:rFonts w:eastAsia="仿宋"/>
                <w:sz w:val="24"/>
                <w:shd w:val="clear" w:color="auto" w:fill="FFFFFF"/>
                <w:lang w:bidi="ar"/>
              </w:rPr>
              <w:t>HIL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p</w:t>
            </w:r>
            <w:r>
              <w:rPr>
                <w:rFonts w:eastAsia="仿宋"/>
                <w:sz w:val="24"/>
                <w:shd w:val="clear" w:color="auto" w:fill="FFFFFF"/>
                <w:lang w:bidi="ar"/>
              </w:rPr>
              <w:t>型掺杂材料</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val="restart"/>
            <w:tcBorders>
              <w:top w:val="single" w:sz="4" w:space="0" w:color="auto"/>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空穴传输层（</w:t>
            </w:r>
            <w:r>
              <w:rPr>
                <w:rFonts w:eastAsia="仿宋"/>
                <w:sz w:val="24"/>
                <w:shd w:val="clear" w:color="auto" w:fill="FFFFFF"/>
                <w:lang w:bidi="ar"/>
              </w:rPr>
              <w:t>HTL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小分子</w:t>
            </w:r>
            <w:r>
              <w:rPr>
                <w:rFonts w:eastAsia="仿宋"/>
                <w:sz w:val="24"/>
                <w:shd w:val="clear" w:color="auto" w:fill="FFFFFF"/>
                <w:lang w:bidi="ar"/>
              </w:rPr>
              <w:t>HTL</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聚合物</w:t>
            </w:r>
            <w:r>
              <w:rPr>
                <w:rFonts w:eastAsia="仿宋"/>
                <w:sz w:val="24"/>
                <w:shd w:val="clear" w:color="auto" w:fill="FFFFFF"/>
                <w:lang w:bidi="ar"/>
              </w:rPr>
              <w:t>HTL</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电子功能层</w:t>
            </w: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电子注入层（</w:t>
            </w:r>
            <w:r>
              <w:rPr>
                <w:rFonts w:eastAsia="仿宋"/>
                <w:sz w:val="24"/>
                <w:shd w:val="clear" w:color="auto" w:fill="FFFFFF"/>
                <w:lang w:bidi="ar"/>
              </w:rPr>
              <w:t>EIL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n</w:t>
            </w:r>
            <w:r>
              <w:rPr>
                <w:rFonts w:eastAsia="仿宋"/>
                <w:sz w:val="24"/>
                <w:shd w:val="clear" w:color="auto" w:fill="FFFFFF"/>
                <w:lang w:bidi="ar"/>
              </w:rPr>
              <w:t>型掺杂材料</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电子传输层（</w:t>
            </w:r>
            <w:r>
              <w:rPr>
                <w:rFonts w:eastAsia="仿宋"/>
                <w:sz w:val="24"/>
                <w:shd w:val="clear" w:color="auto" w:fill="FFFFFF"/>
                <w:lang w:bidi="ar"/>
              </w:rPr>
              <w:t>ETL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小分子</w:t>
            </w:r>
            <w:r>
              <w:rPr>
                <w:rFonts w:eastAsia="仿宋"/>
                <w:sz w:val="24"/>
                <w:shd w:val="clear" w:color="auto" w:fill="FFFFFF"/>
                <w:lang w:bidi="ar"/>
              </w:rPr>
              <w:t>ETL</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聚合物</w:t>
            </w:r>
            <w:r>
              <w:rPr>
                <w:rFonts w:eastAsia="仿宋"/>
                <w:sz w:val="24"/>
                <w:shd w:val="clear" w:color="auto" w:fill="FFFFFF"/>
                <w:lang w:bidi="ar"/>
              </w:rPr>
              <w:t>ETL</w:t>
            </w: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val="restart"/>
            <w:tcBorders>
              <w:top w:val="single" w:sz="4" w:space="0" w:color="auto"/>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界面修饰层</w:t>
            </w: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空穴阻挡层（</w:t>
            </w:r>
            <w:r>
              <w:rPr>
                <w:rFonts w:eastAsia="仿宋"/>
                <w:sz w:val="24"/>
                <w:shd w:val="clear" w:color="auto" w:fill="FFFFFF"/>
                <w:lang w:bidi="ar"/>
              </w:rPr>
              <w:t>HBL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r>
      <w:tr w:rsidR="00000000">
        <w:trPr>
          <w:trHeight w:val="624"/>
        </w:trPr>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left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电子阻挡层（</w:t>
            </w:r>
            <w:r>
              <w:rPr>
                <w:rFonts w:eastAsia="仿宋"/>
                <w:sz w:val="24"/>
                <w:shd w:val="clear" w:color="auto" w:fill="FFFFFF"/>
                <w:lang w:bidi="ar"/>
              </w:rPr>
              <w:t>EBL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r>
      <w:tr w:rsidR="00000000">
        <w:trPr>
          <w:trHeight w:val="624"/>
        </w:trPr>
        <w:tc>
          <w:tcPr>
            <w:tcW w:w="2195" w:type="dxa"/>
            <w:vMerge/>
            <w:tcBorders>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vMerge/>
            <w:tcBorders>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c>
          <w:tcPr>
            <w:tcW w:w="219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r>
              <w:rPr>
                <w:rFonts w:eastAsia="仿宋"/>
                <w:sz w:val="24"/>
                <w:shd w:val="clear" w:color="auto" w:fill="FFFFFF"/>
                <w:lang w:bidi="ar"/>
              </w:rPr>
              <w:t>光学耦合层（</w:t>
            </w:r>
            <w:r>
              <w:rPr>
                <w:rFonts w:eastAsia="仿宋"/>
                <w:sz w:val="24"/>
                <w:shd w:val="clear" w:color="auto" w:fill="FFFFFF"/>
                <w:lang w:bidi="ar"/>
              </w:rPr>
              <w:t>CPL</w:t>
            </w:r>
            <w:r>
              <w:rPr>
                <w:rFonts w:eastAsia="仿宋"/>
                <w:sz w:val="24"/>
                <w:shd w:val="clear" w:color="auto" w:fill="FFFFFF"/>
                <w:lang w:bidi="ar"/>
              </w:rPr>
              <w:t>）</w:t>
            </w:r>
          </w:p>
        </w:tc>
        <w:tc>
          <w:tcPr>
            <w:tcW w:w="219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rFonts w:eastAsia="仿宋"/>
                <w:sz w:val="24"/>
                <w:shd w:val="clear" w:color="auto" w:fill="FFFFFF"/>
                <w:lang w:bidi="ar"/>
              </w:rPr>
            </w:pPr>
          </w:p>
        </w:tc>
      </w:tr>
    </w:tbl>
    <w:p w:rsidR="00000000" w:rsidRDefault="00000000">
      <w:pPr>
        <w:pStyle w:val="2"/>
        <w:spacing w:before="156" w:after="156"/>
        <w:jc w:val="both"/>
        <w:rPr>
          <w:rFonts w:eastAsia="宋体"/>
          <w:szCs w:val="28"/>
        </w:rPr>
      </w:pPr>
      <w:bookmarkStart w:id="131" w:name="_Toc113454153"/>
      <w:bookmarkStart w:id="132" w:name="_Toc26949"/>
      <w:bookmarkStart w:id="133" w:name="_Toc487814594"/>
      <w:bookmarkStart w:id="134" w:name="_Toc30855"/>
      <w:bookmarkStart w:id="135" w:name="_Toc4335"/>
      <w:bookmarkStart w:id="136" w:name="_Toc123295149"/>
      <w:bookmarkStart w:id="137" w:name="_Toc26088"/>
      <w:bookmarkStart w:id="138" w:name="_Toc17346"/>
      <w:bookmarkStart w:id="139" w:name="_Toc17949"/>
      <w:bookmarkStart w:id="140" w:name="_Toc17191"/>
      <w:bookmarkStart w:id="141" w:name="_Toc3666"/>
      <w:bookmarkStart w:id="142" w:name="_Toc30956"/>
      <w:bookmarkStart w:id="143" w:name="_Toc133415905"/>
      <w:bookmarkStart w:id="144" w:name="_Toc29923"/>
      <w:bookmarkStart w:id="145" w:name="_Toc9512"/>
      <w:bookmarkStart w:id="146" w:name="_Toc21529"/>
      <w:bookmarkStart w:id="147" w:name="_Toc28883"/>
      <w:r>
        <w:rPr>
          <w:rFonts w:eastAsia="宋体"/>
          <w:szCs w:val="28"/>
        </w:rPr>
        <w:t xml:space="preserve">2.2 </w:t>
      </w:r>
      <w:r>
        <w:rPr>
          <w:rFonts w:eastAsia="宋体"/>
          <w:szCs w:val="28"/>
        </w:rPr>
        <w:t>专利数据检索</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000000" w:rsidRDefault="00000000">
      <w:pPr>
        <w:pStyle w:val="3"/>
        <w:spacing w:beforeLines="50" w:before="156" w:afterLines="50" w:after="156" w:line="440" w:lineRule="exact"/>
        <w:rPr>
          <w:rFonts w:eastAsia="楷体"/>
          <w:sz w:val="28"/>
        </w:rPr>
      </w:pPr>
      <w:bookmarkStart w:id="148" w:name="_Toc487814595"/>
      <w:bookmarkStart w:id="149" w:name="_Toc1960"/>
      <w:bookmarkStart w:id="150" w:name="_Toc10051"/>
      <w:bookmarkStart w:id="151" w:name="_Toc1388"/>
      <w:bookmarkStart w:id="152" w:name="_Toc24080"/>
      <w:bookmarkStart w:id="153" w:name="_Toc4228"/>
      <w:bookmarkStart w:id="154" w:name="_Toc123295150"/>
      <w:bookmarkStart w:id="155" w:name="_Toc22921"/>
      <w:bookmarkStart w:id="156" w:name="_Toc32026"/>
      <w:bookmarkStart w:id="157" w:name="_Toc18426"/>
      <w:bookmarkStart w:id="158" w:name="_Toc133415906"/>
      <w:bookmarkStart w:id="159" w:name="_Toc15563"/>
      <w:bookmarkStart w:id="160" w:name="_Toc113454154"/>
      <w:bookmarkStart w:id="161" w:name="_Toc25199"/>
      <w:bookmarkStart w:id="162" w:name="_Toc19405"/>
      <w:bookmarkStart w:id="163" w:name="_Toc4035"/>
      <w:bookmarkStart w:id="164" w:name="_Toc9757"/>
      <w:r>
        <w:rPr>
          <w:rFonts w:eastAsia="楷体"/>
          <w:sz w:val="28"/>
        </w:rPr>
        <w:t xml:space="preserve">2.2.1 </w:t>
      </w:r>
      <w:r>
        <w:rPr>
          <w:rFonts w:eastAsia="楷体"/>
          <w:sz w:val="28"/>
        </w:rPr>
        <w:t>数据来源和范围</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000000" w:rsidRDefault="00000000">
      <w:pPr>
        <w:widowControl/>
        <w:spacing w:line="440" w:lineRule="exact"/>
        <w:ind w:firstLineChars="200" w:firstLine="480"/>
        <w:jc w:val="left"/>
        <w:rPr>
          <w:rFonts w:eastAsia="仿宋"/>
          <w:sz w:val="24"/>
        </w:rPr>
      </w:pPr>
      <w:r>
        <w:rPr>
          <w:rFonts w:eastAsia="仿宋"/>
          <w:sz w:val="24"/>
        </w:rPr>
        <w:t>本专利分析的检索主题是</w:t>
      </w:r>
      <w:r>
        <w:rPr>
          <w:rFonts w:eastAsia="仿宋"/>
          <w:sz w:val="24"/>
        </w:rPr>
        <w:t>OLED</w:t>
      </w:r>
      <w:r>
        <w:rPr>
          <w:rFonts w:eastAsia="仿宋"/>
          <w:sz w:val="24"/>
        </w:rPr>
        <w:t>发光材料产业技术，检索截至日期为</w:t>
      </w:r>
      <w:r>
        <w:rPr>
          <w:rFonts w:eastAsia="仿宋"/>
          <w:sz w:val="24"/>
        </w:rPr>
        <w:t>2025</w:t>
      </w:r>
      <w:r>
        <w:rPr>
          <w:rFonts w:eastAsia="仿宋"/>
          <w:sz w:val="24"/>
        </w:rPr>
        <w:t>年</w:t>
      </w:r>
      <w:r>
        <w:rPr>
          <w:rFonts w:eastAsia="仿宋"/>
          <w:sz w:val="24"/>
        </w:rPr>
        <w:t>6</w:t>
      </w:r>
      <w:r>
        <w:rPr>
          <w:rFonts w:eastAsia="仿宋"/>
          <w:sz w:val="24"/>
        </w:rPr>
        <w:t>月</w:t>
      </w:r>
      <w:r>
        <w:rPr>
          <w:rFonts w:eastAsia="仿宋"/>
          <w:sz w:val="24"/>
        </w:rPr>
        <w:t>17</w:t>
      </w:r>
      <w:r>
        <w:rPr>
          <w:rFonts w:eastAsia="仿宋"/>
          <w:sz w:val="24"/>
        </w:rPr>
        <w:t>日。本专利导航分析的研究对象是</w:t>
      </w:r>
      <w:r>
        <w:rPr>
          <w:rFonts w:eastAsia="仿宋"/>
          <w:sz w:val="24"/>
        </w:rPr>
        <w:t>OLED</w:t>
      </w:r>
      <w:r>
        <w:rPr>
          <w:rFonts w:eastAsia="仿宋"/>
          <w:sz w:val="24"/>
        </w:rPr>
        <w:t>发光材料装备产业专利技术，因此检索的目标文献是所有关于</w:t>
      </w:r>
      <w:r>
        <w:rPr>
          <w:rFonts w:eastAsia="仿宋"/>
          <w:sz w:val="24"/>
        </w:rPr>
        <w:t>OLED</w:t>
      </w:r>
      <w:r>
        <w:rPr>
          <w:rFonts w:eastAsia="仿宋"/>
          <w:sz w:val="24"/>
        </w:rPr>
        <w:t>发光材料产业的专利技术文献，采用的数据库是中国专利数据库、智慧芽专利数据库和欧洲专利局专利文献数据库。</w:t>
      </w:r>
    </w:p>
    <w:p w:rsidR="00000000" w:rsidRDefault="00000000">
      <w:pPr>
        <w:pStyle w:val="3"/>
        <w:spacing w:beforeLines="50" w:before="156" w:afterLines="50" w:after="156" w:line="440" w:lineRule="exact"/>
        <w:rPr>
          <w:rFonts w:eastAsia="楷体"/>
          <w:sz w:val="28"/>
        </w:rPr>
      </w:pPr>
      <w:bookmarkStart w:id="165" w:name="_Toc3368"/>
      <w:bookmarkStart w:id="166" w:name="_Toc13595"/>
      <w:bookmarkStart w:id="167" w:name="_Toc1513"/>
      <w:bookmarkStart w:id="168" w:name="_Toc14662"/>
      <w:bookmarkStart w:id="169" w:name="_Toc28419"/>
      <w:bookmarkStart w:id="170" w:name="_Toc3085"/>
      <w:bookmarkStart w:id="171" w:name="_Toc28060"/>
      <w:bookmarkStart w:id="172" w:name="_Toc123295151"/>
      <w:bookmarkStart w:id="173" w:name="_Toc31540"/>
      <w:bookmarkStart w:id="174" w:name="_Toc15990"/>
      <w:bookmarkStart w:id="175" w:name="_Toc26269"/>
      <w:bookmarkStart w:id="176" w:name="_Toc487814596"/>
      <w:bookmarkStart w:id="177" w:name="_Toc133415907"/>
      <w:bookmarkStart w:id="178" w:name="_Toc11361"/>
      <w:bookmarkStart w:id="179" w:name="_Toc27239"/>
      <w:bookmarkStart w:id="180" w:name="_Toc113454155"/>
      <w:bookmarkStart w:id="181" w:name="_Toc2115"/>
      <w:r>
        <w:rPr>
          <w:rFonts w:eastAsia="楷体"/>
          <w:sz w:val="28"/>
        </w:rPr>
        <w:t xml:space="preserve">2.2.2 </w:t>
      </w:r>
      <w:r>
        <w:rPr>
          <w:rFonts w:eastAsia="楷体"/>
          <w:sz w:val="28"/>
        </w:rPr>
        <w:t>检索策略</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000000" w:rsidRDefault="00000000">
      <w:pPr>
        <w:widowControl/>
        <w:spacing w:line="440" w:lineRule="exact"/>
        <w:ind w:firstLineChars="200" w:firstLine="480"/>
        <w:jc w:val="left"/>
        <w:rPr>
          <w:rFonts w:eastAsia="仿宋"/>
          <w:sz w:val="24"/>
        </w:rPr>
      </w:pPr>
      <w:r>
        <w:rPr>
          <w:rFonts w:eastAsia="仿宋"/>
          <w:sz w:val="24"/>
        </w:rPr>
        <w:t>本专利专利导航项目的检索从整体进行检索，检索由初步检索、全面检索和补充检索三个阶段构成。</w:t>
      </w:r>
    </w:p>
    <w:p w:rsidR="00000000" w:rsidRDefault="00000000">
      <w:pPr>
        <w:widowControl/>
        <w:spacing w:line="440" w:lineRule="exact"/>
        <w:ind w:firstLineChars="200" w:firstLine="480"/>
        <w:jc w:val="left"/>
        <w:rPr>
          <w:rFonts w:eastAsia="仿宋"/>
          <w:sz w:val="24"/>
        </w:rPr>
      </w:pPr>
      <w:r>
        <w:rPr>
          <w:rFonts w:eastAsia="仿宋"/>
          <w:sz w:val="24"/>
        </w:rPr>
        <w:t>初步检索阶段：初步选择关键词对该技术主题进行检索，对检索到的专利文献关键词进行统计分析，并抽样对相关专利文献进行人工阅读，提炼关键词，初步检索阶段还要进行的就是检索策略的反复调整、反馈，总结各检索要素在检索策略中所处的位置，在上述工作基础上制定全面检索策略。</w:t>
      </w:r>
    </w:p>
    <w:p w:rsidR="00000000" w:rsidRDefault="00000000">
      <w:pPr>
        <w:widowControl/>
        <w:spacing w:line="440" w:lineRule="exact"/>
        <w:ind w:firstLineChars="200" w:firstLine="480"/>
        <w:jc w:val="left"/>
        <w:rPr>
          <w:rFonts w:eastAsia="仿宋"/>
          <w:sz w:val="24"/>
        </w:rPr>
      </w:pPr>
      <w:r>
        <w:rPr>
          <w:rFonts w:eastAsia="仿宋"/>
          <w:sz w:val="24"/>
        </w:rPr>
        <w:t>全面检索阶段：选定精确关键词和扩展关键词作为主要检索要素，并结合国际专利分类号，合理采用检索策略及其搭配，充分利用截词符和算符，同时利用不同数据库的优势进行适时转库检索，对该技术主题在专利数据库进行全面而准确的检索。</w:t>
      </w:r>
    </w:p>
    <w:p w:rsidR="00000000" w:rsidRDefault="00000000">
      <w:pPr>
        <w:widowControl/>
        <w:spacing w:line="440" w:lineRule="exact"/>
        <w:ind w:firstLineChars="200" w:firstLine="480"/>
        <w:jc w:val="left"/>
        <w:rPr>
          <w:rFonts w:eastAsia="仿宋"/>
          <w:sz w:val="24"/>
        </w:rPr>
      </w:pPr>
      <w:r>
        <w:rPr>
          <w:rFonts w:eastAsia="仿宋"/>
          <w:sz w:val="24"/>
        </w:rPr>
        <w:t>补充检索阶段：在前面全面检索的基础上，根据已检索的文献包含关键词的阅读，并根据扩展包含需要主题的关键词精确检索，保证检索数据的全面和完整。</w:t>
      </w:r>
    </w:p>
    <w:p w:rsidR="00000000" w:rsidRDefault="00000000">
      <w:pPr>
        <w:widowControl/>
        <w:spacing w:line="440" w:lineRule="exact"/>
        <w:ind w:firstLineChars="200" w:firstLine="480"/>
        <w:jc w:val="left"/>
        <w:rPr>
          <w:rFonts w:eastAsia="仿宋"/>
          <w:sz w:val="24"/>
        </w:rPr>
      </w:pPr>
      <w:bookmarkStart w:id="182" w:name="OLE_LINK1"/>
      <w:r>
        <w:rPr>
          <w:rFonts w:eastAsia="仿宋"/>
          <w:sz w:val="24"/>
        </w:rPr>
        <w:lastRenderedPageBreak/>
        <w:t>根据对初步检索结果的统计和分析，总结得到检索需要的检索要素，并按照检索的需求，对检索要素进行整理，构建检索要素表</w:t>
      </w:r>
      <w:bookmarkStart w:id="183" w:name="_Toc351563282"/>
      <w:bookmarkEnd w:id="182"/>
      <w:r>
        <w:rPr>
          <w:rFonts w:eastAsia="仿宋"/>
          <w:sz w:val="24"/>
        </w:rPr>
        <w:t>。</w:t>
      </w:r>
    </w:p>
    <w:p w:rsidR="00000000" w:rsidRDefault="00000000">
      <w:pPr>
        <w:pStyle w:val="3"/>
        <w:spacing w:beforeLines="50" w:before="156" w:afterLines="50" w:after="156" w:line="440" w:lineRule="exact"/>
        <w:rPr>
          <w:rFonts w:eastAsia="楷体"/>
          <w:sz w:val="28"/>
        </w:rPr>
      </w:pPr>
      <w:bookmarkStart w:id="184" w:name="_Toc133415908"/>
      <w:bookmarkStart w:id="185" w:name="_Toc5594"/>
      <w:bookmarkStart w:id="186" w:name="_Toc11325"/>
      <w:bookmarkStart w:id="187" w:name="_Toc27301"/>
      <w:bookmarkStart w:id="188" w:name="_Toc27225"/>
      <w:bookmarkStart w:id="189" w:name="_Toc2216"/>
      <w:bookmarkStart w:id="190" w:name="_Toc663"/>
      <w:bookmarkStart w:id="191" w:name="_Toc29858"/>
      <w:bookmarkStart w:id="192" w:name="_Toc123295152"/>
      <w:bookmarkStart w:id="193" w:name="_Toc22329"/>
      <w:bookmarkStart w:id="194" w:name="_Toc487814597"/>
      <w:bookmarkStart w:id="195" w:name="_Toc11597"/>
      <w:bookmarkStart w:id="196" w:name="_Toc17259"/>
      <w:bookmarkStart w:id="197" w:name="_Toc24203"/>
      <w:bookmarkStart w:id="198" w:name="_Toc16120"/>
      <w:bookmarkStart w:id="199" w:name="_Toc7759"/>
      <w:bookmarkStart w:id="200" w:name="_Toc113454156"/>
      <w:bookmarkEnd w:id="183"/>
      <w:r>
        <w:rPr>
          <w:rFonts w:eastAsia="楷体"/>
          <w:sz w:val="28"/>
        </w:rPr>
        <w:t xml:space="preserve">2.2.3 </w:t>
      </w:r>
      <w:r>
        <w:rPr>
          <w:rFonts w:eastAsia="楷体"/>
          <w:sz w:val="28"/>
        </w:rPr>
        <w:t>检索结果验证</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000000" w:rsidRDefault="00000000">
      <w:pPr>
        <w:widowControl/>
        <w:spacing w:line="440" w:lineRule="exact"/>
        <w:ind w:firstLineChars="200" w:firstLine="480"/>
        <w:jc w:val="left"/>
        <w:rPr>
          <w:rFonts w:eastAsia="仿宋"/>
          <w:sz w:val="24"/>
        </w:rPr>
      </w:pPr>
      <w:r>
        <w:rPr>
          <w:rFonts w:eastAsia="仿宋"/>
          <w:sz w:val="24"/>
        </w:rPr>
        <w:t>为了对检索的结果进行评估和验证，采用了查全率和查准率两项指标对本检索结构查全率的评估办法是：选择重要申请人，一般为该技术领域申请量排名在前</w:t>
      </w:r>
      <w:r>
        <w:rPr>
          <w:rFonts w:eastAsia="仿宋"/>
          <w:sz w:val="24"/>
        </w:rPr>
        <w:t>10</w:t>
      </w:r>
      <w:r>
        <w:rPr>
          <w:rFonts w:eastAsia="仿宋"/>
          <w:sz w:val="24"/>
        </w:rPr>
        <w:t>位的申请人或者行业内普遍认可的重要申请人，以该申请人为入口检索全部申请，通过人工确认其在本技术领域的申请文献量，形成母样本；在检索结果数据库中以申请人为入口检索其申请文献量，形成子样本；以子样本</w:t>
      </w:r>
      <w:r>
        <w:rPr>
          <w:rFonts w:eastAsia="仿宋"/>
          <w:sz w:val="24"/>
        </w:rPr>
        <w:t>/</w:t>
      </w:r>
      <w:r>
        <w:rPr>
          <w:rFonts w:eastAsia="仿宋"/>
          <w:sz w:val="24"/>
        </w:rPr>
        <w:t>母样本</w:t>
      </w:r>
      <w:r>
        <w:rPr>
          <w:rFonts w:eastAsia="仿宋"/>
          <w:sz w:val="24"/>
        </w:rPr>
        <w:t>×100%=</w:t>
      </w:r>
      <w:r>
        <w:rPr>
          <w:rFonts w:eastAsia="仿宋"/>
          <w:sz w:val="24"/>
        </w:rPr>
        <w:t>查全率，查全率为</w:t>
      </w:r>
      <w:r>
        <w:rPr>
          <w:rFonts w:eastAsia="仿宋"/>
          <w:sz w:val="24"/>
        </w:rPr>
        <w:t>95.3%</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本报告查准率的评估方法是：在结果数据库中随机选取一定数量的专利文献作为母样本；对母样本中的每项专利文献进行阅读，确定其与技术主题的相关性，与技术主题高度相关的专利文献形成子样本；以子样本</w:t>
      </w:r>
      <w:r>
        <w:rPr>
          <w:rFonts w:eastAsia="仿宋"/>
          <w:sz w:val="24"/>
        </w:rPr>
        <w:t>/</w:t>
      </w:r>
      <w:r>
        <w:rPr>
          <w:rFonts w:eastAsia="仿宋"/>
          <w:sz w:val="24"/>
        </w:rPr>
        <w:t>母样本</w:t>
      </w:r>
      <w:r>
        <w:rPr>
          <w:rFonts w:eastAsia="仿宋"/>
          <w:sz w:val="24"/>
        </w:rPr>
        <w:t>×100%=</w:t>
      </w:r>
      <w:r>
        <w:rPr>
          <w:rFonts w:eastAsia="仿宋"/>
          <w:sz w:val="24"/>
        </w:rPr>
        <w:t>查准率，查准率为</w:t>
      </w:r>
      <w:r>
        <w:rPr>
          <w:rFonts w:eastAsia="仿宋"/>
          <w:sz w:val="24"/>
        </w:rPr>
        <w:t>96%</w:t>
      </w:r>
      <w:r>
        <w:rPr>
          <w:rFonts w:eastAsia="仿宋"/>
          <w:sz w:val="24"/>
        </w:rPr>
        <w:t>。</w:t>
      </w:r>
      <w:bookmarkStart w:id="201" w:name="_Toc372113699"/>
      <w:bookmarkStart w:id="202" w:name="_Toc403976484"/>
    </w:p>
    <w:p w:rsidR="00000000" w:rsidRDefault="00000000">
      <w:pPr>
        <w:pStyle w:val="3"/>
        <w:spacing w:beforeLines="50" w:before="156" w:afterLines="50" w:after="156" w:line="440" w:lineRule="exact"/>
        <w:rPr>
          <w:rFonts w:eastAsia="楷体"/>
          <w:sz w:val="28"/>
        </w:rPr>
      </w:pPr>
      <w:bookmarkStart w:id="203" w:name="_Toc26589"/>
      <w:bookmarkStart w:id="204" w:name="_Toc23369"/>
      <w:bookmarkStart w:id="205" w:name="_Toc113454157"/>
      <w:bookmarkStart w:id="206" w:name="_Toc487814598"/>
      <w:bookmarkStart w:id="207" w:name="_Toc9967"/>
      <w:bookmarkStart w:id="208" w:name="_Toc9989"/>
      <w:bookmarkStart w:id="209" w:name="_Toc30028"/>
      <w:bookmarkStart w:id="210" w:name="_Toc15202"/>
      <w:bookmarkStart w:id="211" w:name="_Toc6892"/>
      <w:bookmarkStart w:id="212" w:name="_Toc20144"/>
      <w:bookmarkStart w:id="213" w:name="_Toc123295153"/>
      <w:bookmarkStart w:id="214" w:name="_Toc18200"/>
      <w:bookmarkStart w:id="215" w:name="_Toc133415909"/>
      <w:bookmarkStart w:id="216" w:name="_Toc9060"/>
      <w:bookmarkStart w:id="217" w:name="_Toc29737"/>
      <w:bookmarkStart w:id="218" w:name="_Toc14477"/>
      <w:bookmarkStart w:id="219" w:name="_Toc3357"/>
      <w:r>
        <w:rPr>
          <w:rFonts w:eastAsia="楷体"/>
          <w:sz w:val="28"/>
        </w:rPr>
        <w:t xml:space="preserve">2.2.4 </w:t>
      </w:r>
      <w:r>
        <w:rPr>
          <w:rFonts w:eastAsia="楷体"/>
          <w:sz w:val="28"/>
        </w:rPr>
        <w:t>数据筛选与数据处理</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000000" w:rsidRDefault="00000000">
      <w:pPr>
        <w:widowControl/>
        <w:spacing w:line="440" w:lineRule="exact"/>
        <w:ind w:firstLineChars="200" w:firstLine="480"/>
        <w:jc w:val="left"/>
        <w:rPr>
          <w:rFonts w:eastAsia="仿宋"/>
          <w:sz w:val="24"/>
        </w:rPr>
      </w:pPr>
      <w:r>
        <w:rPr>
          <w:rFonts w:eastAsia="仿宋"/>
          <w:sz w:val="24"/>
        </w:rPr>
        <w:t>在专利检索完成后，对专利数据进行提取，通过软件删除在跨库检索时，出现的重复专利，保证数据中的同一专利仅收录</w:t>
      </w:r>
      <w:r>
        <w:rPr>
          <w:rFonts w:eastAsia="仿宋"/>
          <w:sz w:val="24"/>
        </w:rPr>
        <w:t>1</w:t>
      </w:r>
      <w:r>
        <w:rPr>
          <w:rFonts w:eastAsia="仿宋"/>
          <w:sz w:val="24"/>
        </w:rPr>
        <w:t>个公开文本，并通过批量去噪的方式将与</w:t>
      </w:r>
      <w:r>
        <w:rPr>
          <w:rFonts w:eastAsia="仿宋"/>
          <w:sz w:val="24"/>
        </w:rPr>
        <w:t>OLED</w:t>
      </w:r>
      <w:r>
        <w:rPr>
          <w:rFonts w:eastAsia="仿宋"/>
          <w:sz w:val="24"/>
        </w:rPr>
        <w:t>发光材料产业技术不相关的专利文献清洗掉，筛选的标准如下：去噪后标记与</w:t>
      </w:r>
      <w:r>
        <w:rPr>
          <w:rFonts w:eastAsia="仿宋"/>
          <w:sz w:val="24"/>
        </w:rPr>
        <w:t>OLED</w:t>
      </w:r>
      <w:r>
        <w:rPr>
          <w:rFonts w:eastAsia="仿宋"/>
          <w:sz w:val="24"/>
        </w:rPr>
        <w:t>发光材料产业技术不相关的专利文献；关于</w:t>
      </w:r>
      <w:r>
        <w:rPr>
          <w:rFonts w:eastAsia="仿宋"/>
          <w:sz w:val="24"/>
        </w:rPr>
        <w:t>OLED</w:t>
      </w:r>
      <w:r>
        <w:rPr>
          <w:rFonts w:eastAsia="仿宋"/>
          <w:sz w:val="24"/>
        </w:rPr>
        <w:t>发光材料产业技术的检索结果、筛选后数据量参见表</w:t>
      </w:r>
      <w:r>
        <w:rPr>
          <w:rFonts w:eastAsia="仿宋"/>
          <w:sz w:val="24"/>
        </w:rPr>
        <w:t>2-2-1</w:t>
      </w:r>
      <w:r>
        <w:rPr>
          <w:rFonts w:eastAsia="仿宋"/>
          <w:sz w:val="24"/>
        </w:rPr>
        <w:t>所示。</w:t>
      </w:r>
    </w:p>
    <w:p w:rsidR="00000000" w:rsidRDefault="00000000">
      <w:pPr>
        <w:pStyle w:val="afd"/>
        <w:spacing w:line="360" w:lineRule="auto"/>
        <w:rPr>
          <w:rFonts w:eastAsia="仿宋" w:cs="Times New Roman"/>
          <w:sz w:val="24"/>
          <w:szCs w:val="24"/>
        </w:rPr>
      </w:pPr>
      <w:r>
        <w:rPr>
          <w:rFonts w:eastAsia="仿宋" w:cs="Times New Roman"/>
          <w:sz w:val="24"/>
          <w:szCs w:val="24"/>
        </w:rPr>
        <w:t>表</w:t>
      </w:r>
      <w:r>
        <w:rPr>
          <w:rFonts w:eastAsia="仿宋" w:cs="Times New Roman"/>
          <w:sz w:val="24"/>
          <w:szCs w:val="24"/>
        </w:rPr>
        <w:t>2-2-1  OLED</w:t>
      </w:r>
      <w:r>
        <w:rPr>
          <w:rFonts w:eastAsia="仿宋" w:cs="Times New Roman"/>
          <w:sz w:val="24"/>
          <w:szCs w:val="24"/>
        </w:rPr>
        <w:t>发光材料产业技术检索及筛选结果列表</w:t>
      </w:r>
    </w:p>
    <w:tbl>
      <w:tblPr>
        <w:tblW w:w="88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1676"/>
        <w:gridCol w:w="1676"/>
        <w:gridCol w:w="1676"/>
        <w:gridCol w:w="1676"/>
      </w:tblGrid>
      <w:tr w:rsidR="00000000">
        <w:trPr>
          <w:trHeight w:hRule="exact" w:val="680"/>
        </w:trPr>
        <w:tc>
          <w:tcPr>
            <w:tcW w:w="2185"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检索主题</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检索截止日</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检索结果</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筛选结果</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最终文献量</w:t>
            </w:r>
          </w:p>
        </w:tc>
      </w:tr>
      <w:tr w:rsidR="00000000">
        <w:trPr>
          <w:trHeight w:hRule="exact" w:val="680"/>
        </w:trPr>
        <w:tc>
          <w:tcPr>
            <w:tcW w:w="2185" w:type="dxa"/>
            <w:vAlign w:val="center"/>
          </w:tcPr>
          <w:p w:rsidR="00000000" w:rsidRDefault="00000000">
            <w:pPr>
              <w:pStyle w:val="afd"/>
              <w:rPr>
                <w:rFonts w:eastAsia="仿宋" w:cs="Times New Roman"/>
                <w:sz w:val="24"/>
                <w:szCs w:val="24"/>
                <w:lang w:bidi="ar"/>
              </w:rPr>
            </w:pPr>
            <w:r>
              <w:rPr>
                <w:rFonts w:eastAsia="仿宋" w:cs="Times New Roman"/>
                <w:sz w:val="24"/>
                <w:szCs w:val="24"/>
                <w:lang w:bidi="ar"/>
              </w:rPr>
              <w:t>发光层</w:t>
            </w:r>
          </w:p>
          <w:p w:rsidR="00000000" w:rsidRDefault="00000000">
            <w:pPr>
              <w:pStyle w:val="afd"/>
              <w:spacing w:line="360" w:lineRule="auto"/>
              <w:rPr>
                <w:rFonts w:eastAsia="仿宋" w:cs="Times New Roman"/>
                <w:sz w:val="24"/>
                <w:szCs w:val="24"/>
              </w:rPr>
            </w:pP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2025-5-17</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51914</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36127</w:t>
            </w:r>
          </w:p>
        </w:tc>
        <w:tc>
          <w:tcPr>
            <w:tcW w:w="1676" w:type="dxa"/>
            <w:vAlign w:val="center"/>
          </w:tcPr>
          <w:p w:rsidR="00000000" w:rsidRDefault="00000000">
            <w:pPr>
              <w:pStyle w:val="afd"/>
              <w:spacing w:line="360" w:lineRule="auto"/>
              <w:rPr>
                <w:rStyle w:val="edep"/>
                <w:rFonts w:eastAsia="仿宋" w:cs="Times New Roman"/>
                <w:sz w:val="24"/>
                <w:szCs w:val="24"/>
                <w:shd w:val="clear" w:color="auto" w:fill="FFFFFF"/>
              </w:rPr>
            </w:pPr>
            <w:r>
              <w:rPr>
                <w:rFonts w:eastAsia="仿宋" w:cs="Times New Roman" w:hint="eastAsia"/>
                <w:sz w:val="24"/>
                <w:szCs w:val="24"/>
              </w:rPr>
              <w:t>36127</w:t>
            </w:r>
          </w:p>
        </w:tc>
      </w:tr>
      <w:tr w:rsidR="00000000">
        <w:trPr>
          <w:trHeight w:hRule="exact" w:val="680"/>
        </w:trPr>
        <w:tc>
          <w:tcPr>
            <w:tcW w:w="2185"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lang w:bidi="ar"/>
              </w:rPr>
              <w:t>空穴功能层</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2025-5-17</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10030</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7115</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7115</w:t>
            </w:r>
          </w:p>
        </w:tc>
      </w:tr>
      <w:tr w:rsidR="00000000">
        <w:trPr>
          <w:trHeight w:hRule="exact" w:val="680"/>
        </w:trPr>
        <w:tc>
          <w:tcPr>
            <w:tcW w:w="2185" w:type="dxa"/>
            <w:vAlign w:val="center"/>
          </w:tcPr>
          <w:p w:rsidR="00000000" w:rsidRDefault="00000000">
            <w:pPr>
              <w:pStyle w:val="afd"/>
              <w:spacing w:line="360" w:lineRule="auto"/>
              <w:rPr>
                <w:rFonts w:eastAsia="仿宋" w:cs="Times New Roman"/>
                <w:sz w:val="24"/>
                <w:szCs w:val="24"/>
                <w:lang w:bidi="ar"/>
              </w:rPr>
            </w:pPr>
            <w:r>
              <w:rPr>
                <w:rFonts w:eastAsia="仿宋" w:cs="Times New Roman"/>
                <w:sz w:val="24"/>
                <w:szCs w:val="24"/>
                <w:lang w:bidi="ar"/>
              </w:rPr>
              <w:t>电子功能层</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2025-5-17</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10492</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7374</w:t>
            </w:r>
          </w:p>
        </w:tc>
        <w:tc>
          <w:tcPr>
            <w:tcW w:w="1676" w:type="dxa"/>
            <w:vAlign w:val="center"/>
          </w:tcPr>
          <w:p w:rsidR="00000000" w:rsidRDefault="00000000">
            <w:pPr>
              <w:pStyle w:val="afd"/>
              <w:spacing w:line="360" w:lineRule="auto"/>
              <w:rPr>
                <w:rStyle w:val="edep"/>
                <w:rFonts w:eastAsia="仿宋" w:cs="Times New Roman"/>
                <w:sz w:val="24"/>
                <w:szCs w:val="24"/>
                <w:shd w:val="clear" w:color="auto" w:fill="FFFFFF"/>
              </w:rPr>
            </w:pPr>
            <w:r>
              <w:rPr>
                <w:rFonts w:eastAsia="仿宋" w:cs="Times New Roman" w:hint="eastAsia"/>
                <w:sz w:val="24"/>
                <w:szCs w:val="24"/>
              </w:rPr>
              <w:t>7374</w:t>
            </w:r>
          </w:p>
        </w:tc>
      </w:tr>
      <w:tr w:rsidR="00000000">
        <w:trPr>
          <w:trHeight w:hRule="exact" w:val="680"/>
        </w:trPr>
        <w:tc>
          <w:tcPr>
            <w:tcW w:w="2185" w:type="dxa"/>
            <w:vAlign w:val="center"/>
          </w:tcPr>
          <w:p w:rsidR="00000000" w:rsidRDefault="00000000">
            <w:pPr>
              <w:pStyle w:val="afd"/>
              <w:spacing w:line="360" w:lineRule="auto"/>
              <w:rPr>
                <w:rFonts w:eastAsia="仿宋" w:cs="Times New Roman"/>
                <w:sz w:val="24"/>
                <w:szCs w:val="24"/>
                <w:lang w:bidi="ar"/>
              </w:rPr>
            </w:pPr>
            <w:r>
              <w:rPr>
                <w:rFonts w:eastAsia="仿宋" w:cs="Times New Roman"/>
                <w:sz w:val="24"/>
                <w:szCs w:val="24"/>
                <w:lang w:bidi="ar"/>
              </w:rPr>
              <w:t>界面修饰层</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sz w:val="24"/>
                <w:szCs w:val="24"/>
              </w:rPr>
              <w:t>2025-5-17</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2544</w:t>
            </w:r>
          </w:p>
        </w:tc>
        <w:tc>
          <w:tcPr>
            <w:tcW w:w="1676" w:type="dxa"/>
            <w:vAlign w:val="center"/>
          </w:tcPr>
          <w:p w:rsidR="00000000" w:rsidRDefault="00000000">
            <w:pPr>
              <w:pStyle w:val="afd"/>
              <w:spacing w:line="360" w:lineRule="auto"/>
              <w:rPr>
                <w:rFonts w:eastAsia="仿宋" w:cs="Times New Roman"/>
                <w:sz w:val="24"/>
                <w:szCs w:val="24"/>
              </w:rPr>
            </w:pPr>
            <w:r>
              <w:rPr>
                <w:rFonts w:eastAsia="仿宋" w:cs="Times New Roman" w:hint="eastAsia"/>
                <w:sz w:val="24"/>
                <w:szCs w:val="24"/>
              </w:rPr>
              <w:t>1869</w:t>
            </w:r>
          </w:p>
        </w:tc>
        <w:tc>
          <w:tcPr>
            <w:tcW w:w="1676" w:type="dxa"/>
            <w:vAlign w:val="center"/>
          </w:tcPr>
          <w:p w:rsidR="00000000" w:rsidRDefault="00000000">
            <w:pPr>
              <w:pStyle w:val="afd"/>
              <w:spacing w:line="360" w:lineRule="auto"/>
              <w:rPr>
                <w:rStyle w:val="edep"/>
                <w:rFonts w:eastAsia="仿宋" w:cs="Times New Roman"/>
                <w:sz w:val="24"/>
                <w:szCs w:val="24"/>
                <w:shd w:val="clear" w:color="auto" w:fill="FFFFFF"/>
              </w:rPr>
            </w:pPr>
            <w:r>
              <w:rPr>
                <w:rFonts w:eastAsia="仿宋" w:cs="Times New Roman" w:hint="eastAsia"/>
                <w:sz w:val="24"/>
                <w:szCs w:val="24"/>
              </w:rPr>
              <w:t>1869</w:t>
            </w:r>
          </w:p>
        </w:tc>
      </w:tr>
    </w:tbl>
    <w:p w:rsidR="00000000" w:rsidRDefault="00000000">
      <w:pPr>
        <w:pStyle w:val="2"/>
        <w:spacing w:before="156" w:after="156"/>
        <w:jc w:val="both"/>
        <w:rPr>
          <w:rFonts w:eastAsia="宋体"/>
          <w:szCs w:val="28"/>
        </w:rPr>
      </w:pPr>
      <w:bookmarkStart w:id="220" w:name="_Toc8337"/>
      <w:bookmarkStart w:id="221" w:name="_Toc29757"/>
      <w:bookmarkStart w:id="222" w:name="_Toc113454158"/>
      <w:bookmarkStart w:id="223" w:name="_Toc123295154"/>
      <w:bookmarkStart w:id="224" w:name="_Toc1842"/>
      <w:bookmarkStart w:id="225" w:name="_Toc487814599"/>
      <w:bookmarkStart w:id="226" w:name="_Toc26326"/>
      <w:bookmarkStart w:id="227" w:name="_Toc24576"/>
      <w:bookmarkStart w:id="228" w:name="_Toc16018"/>
      <w:bookmarkStart w:id="229" w:name="_Toc17065"/>
      <w:bookmarkStart w:id="230" w:name="_Toc32284"/>
      <w:bookmarkStart w:id="231" w:name="_Toc133415910"/>
      <w:bookmarkStart w:id="232" w:name="_Toc29814"/>
      <w:bookmarkStart w:id="233" w:name="_Toc27121"/>
      <w:bookmarkStart w:id="234" w:name="_Toc27801"/>
      <w:bookmarkStart w:id="235" w:name="_Toc26760"/>
      <w:bookmarkStart w:id="236" w:name="_Toc32552"/>
      <w:r>
        <w:rPr>
          <w:rFonts w:eastAsia="宋体"/>
          <w:szCs w:val="28"/>
        </w:rPr>
        <w:lastRenderedPageBreak/>
        <w:t xml:space="preserve">2.3 </w:t>
      </w:r>
      <w:r>
        <w:rPr>
          <w:rFonts w:eastAsia="宋体"/>
          <w:szCs w:val="28"/>
        </w:rPr>
        <w:t>技术术语的解释和说明</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000000" w:rsidRDefault="00000000">
      <w:pPr>
        <w:widowControl/>
        <w:spacing w:line="440" w:lineRule="exact"/>
        <w:ind w:firstLineChars="200" w:firstLine="480"/>
        <w:jc w:val="left"/>
        <w:rPr>
          <w:rFonts w:eastAsia="仿宋"/>
          <w:sz w:val="24"/>
        </w:rPr>
      </w:pPr>
      <w:r>
        <w:rPr>
          <w:rFonts w:eastAsia="仿宋"/>
          <w:sz w:val="24"/>
        </w:rPr>
        <w:t>同族专利：同一项发明在多个国家申请专利而产生的一组内容相同或基本相同的专利文献出版物，称为一个专利族或同族专利。从技术角度看，属于同一专利族的多件专利申请可视为同一项技术。在本报告中，针对技术和专利技术原创国进行分析时，对同族专利进行了合并统计；针对专利在国家或地区的公开情况进行分析时。各件专利进行了单独统计。</w:t>
      </w:r>
    </w:p>
    <w:p w:rsidR="00000000" w:rsidRDefault="00000000">
      <w:pPr>
        <w:widowControl/>
        <w:spacing w:line="440" w:lineRule="exact"/>
        <w:ind w:firstLineChars="200" w:firstLine="480"/>
        <w:jc w:val="left"/>
        <w:rPr>
          <w:rFonts w:eastAsia="仿宋"/>
          <w:sz w:val="24"/>
        </w:rPr>
      </w:pPr>
      <w:r>
        <w:rPr>
          <w:rFonts w:eastAsia="仿宋"/>
          <w:sz w:val="24"/>
        </w:rPr>
        <w:t>技术目标国：以专利申请的公开国家或地区来确定。</w:t>
      </w:r>
    </w:p>
    <w:p w:rsidR="00000000" w:rsidRDefault="00000000">
      <w:pPr>
        <w:widowControl/>
        <w:spacing w:line="440" w:lineRule="exact"/>
        <w:ind w:firstLineChars="200" w:firstLine="480"/>
        <w:jc w:val="left"/>
        <w:rPr>
          <w:rFonts w:eastAsia="仿宋"/>
          <w:sz w:val="24"/>
        </w:rPr>
      </w:pPr>
      <w:r>
        <w:rPr>
          <w:rFonts w:eastAsia="仿宋"/>
          <w:sz w:val="24"/>
        </w:rPr>
        <w:t>技术来源国：以专利申请的首次申请优先权国别来确定，没有优先权的专利申请以该申请的最早申请国别来确定。</w:t>
      </w:r>
    </w:p>
    <w:p w:rsidR="00000000" w:rsidRDefault="00000000">
      <w:pPr>
        <w:widowControl/>
        <w:spacing w:line="440" w:lineRule="exact"/>
        <w:ind w:firstLineChars="200" w:firstLine="480"/>
        <w:jc w:val="left"/>
        <w:rPr>
          <w:rFonts w:eastAsia="仿宋"/>
          <w:sz w:val="24"/>
        </w:rPr>
      </w:pPr>
      <w:r>
        <w:rPr>
          <w:rFonts w:eastAsia="仿宋"/>
          <w:sz w:val="24"/>
        </w:rPr>
        <w:t>项：同一项发明可能在多个国家或地区提出专利申请。</w:t>
      </w:r>
      <w:r>
        <w:rPr>
          <w:rFonts w:eastAsia="仿宋"/>
          <w:sz w:val="24"/>
        </w:rPr>
        <w:t>WPI</w:t>
      </w:r>
      <w:r>
        <w:rPr>
          <w:rFonts w:eastAsia="仿宋"/>
          <w:sz w:val="24"/>
        </w:rPr>
        <w:t>数据库将这些相关的多件专利申请作为一条记录收录。在进行专利申请数量统计时，对于数据库中以一族数据的形式出现的一系列专利文献，计算为</w:t>
      </w:r>
      <w:r>
        <w:rPr>
          <w:rFonts w:eastAsia="仿宋"/>
          <w:sz w:val="24"/>
        </w:rPr>
        <w:t>“1</w:t>
      </w:r>
      <w:r>
        <w:rPr>
          <w:rFonts w:eastAsia="仿宋"/>
          <w:sz w:val="24"/>
        </w:rPr>
        <w:t>项</w:t>
      </w:r>
      <w:r>
        <w:rPr>
          <w:rFonts w:eastAsia="仿宋"/>
          <w:sz w:val="24"/>
        </w:rPr>
        <w:t>”</w:t>
      </w:r>
      <w:r>
        <w:rPr>
          <w:rFonts w:eastAsia="仿宋"/>
          <w:sz w:val="24"/>
        </w:rPr>
        <w:t>。一般情况下，专利申请的项数对应于技术的数目。</w:t>
      </w:r>
    </w:p>
    <w:p w:rsidR="00000000" w:rsidRDefault="00000000">
      <w:pPr>
        <w:widowControl/>
        <w:spacing w:line="440" w:lineRule="exact"/>
        <w:ind w:firstLineChars="200" w:firstLine="480"/>
        <w:jc w:val="left"/>
        <w:rPr>
          <w:rFonts w:eastAsia="仿宋"/>
          <w:sz w:val="24"/>
        </w:rPr>
      </w:pPr>
      <w:r>
        <w:rPr>
          <w:rFonts w:eastAsia="仿宋"/>
          <w:sz w:val="24"/>
        </w:rPr>
        <w:t>件：在进行专利申请数量统计时，例如为了分析分析申请人在不同国家、地区或组织所提出的专利申请的分布情况，将同族专利申请分开进行统计时，所得到的结果对应于申请的件数。一项专利申请可能对应于</w:t>
      </w:r>
      <w:r>
        <w:rPr>
          <w:rFonts w:eastAsia="仿宋"/>
          <w:sz w:val="24"/>
        </w:rPr>
        <w:t>1</w:t>
      </w:r>
      <w:r>
        <w:rPr>
          <w:rFonts w:eastAsia="仿宋"/>
          <w:sz w:val="24"/>
        </w:rPr>
        <w:t>件或多件专利申请。</w:t>
      </w:r>
    </w:p>
    <w:p w:rsidR="00000000" w:rsidRDefault="00000000">
      <w:pPr>
        <w:widowControl/>
        <w:spacing w:line="440" w:lineRule="exact"/>
        <w:ind w:firstLineChars="200" w:firstLine="480"/>
        <w:jc w:val="left"/>
        <w:rPr>
          <w:rFonts w:eastAsia="仿宋"/>
          <w:sz w:val="24"/>
        </w:rPr>
      </w:pPr>
      <w:r>
        <w:rPr>
          <w:rFonts w:eastAsia="仿宋"/>
          <w:sz w:val="24"/>
        </w:rPr>
        <w:t>PCT</w:t>
      </w:r>
      <w:r>
        <w:rPr>
          <w:rFonts w:eastAsia="仿宋"/>
          <w:sz w:val="24"/>
        </w:rPr>
        <w:t>：《专利合作条约》</w:t>
      </w:r>
      <w:r>
        <w:rPr>
          <w:rFonts w:eastAsia="仿宋"/>
          <w:sz w:val="24"/>
        </w:rPr>
        <w:t>Patent Cooperation Treaty</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IPC</w:t>
      </w:r>
      <w:r>
        <w:rPr>
          <w:rFonts w:eastAsia="仿宋"/>
          <w:sz w:val="24"/>
        </w:rPr>
        <w:t>：国际专利分类号。</w:t>
      </w:r>
    </w:p>
    <w:p w:rsidR="00000000" w:rsidRDefault="00000000">
      <w:pPr>
        <w:widowControl/>
        <w:spacing w:line="440" w:lineRule="exact"/>
        <w:ind w:firstLineChars="200" w:firstLine="480"/>
        <w:jc w:val="left"/>
        <w:rPr>
          <w:rFonts w:eastAsia="仿宋"/>
          <w:sz w:val="24"/>
        </w:rPr>
      </w:pPr>
      <w:r>
        <w:rPr>
          <w:rFonts w:eastAsia="仿宋"/>
          <w:sz w:val="24"/>
        </w:rPr>
        <w:t>WIPO</w:t>
      </w:r>
      <w:r>
        <w:rPr>
          <w:rFonts w:eastAsia="仿宋"/>
          <w:sz w:val="24"/>
        </w:rPr>
        <w:t>：国际知识产权组织。</w:t>
      </w:r>
    </w:p>
    <w:p w:rsidR="00000000" w:rsidRDefault="00000000">
      <w:pPr>
        <w:widowControl/>
        <w:spacing w:line="440" w:lineRule="exact"/>
        <w:ind w:firstLineChars="200" w:firstLine="480"/>
        <w:jc w:val="left"/>
        <w:rPr>
          <w:rFonts w:eastAsia="仿宋"/>
          <w:sz w:val="24"/>
        </w:rPr>
      </w:pPr>
      <w:r>
        <w:rPr>
          <w:rFonts w:eastAsia="仿宋"/>
          <w:sz w:val="24"/>
        </w:rPr>
        <w:t>日期约定：依照最早优先权日确定每年的专利数量，无优先权日的以最早申请日为准。</w:t>
      </w:r>
    </w:p>
    <w:p w:rsidR="00000000" w:rsidRDefault="00000000">
      <w:pPr>
        <w:widowControl/>
        <w:spacing w:line="440" w:lineRule="exact"/>
        <w:ind w:firstLineChars="200" w:firstLine="480"/>
        <w:jc w:val="left"/>
        <w:rPr>
          <w:rFonts w:eastAsia="仿宋"/>
          <w:sz w:val="24"/>
        </w:rPr>
      </w:pPr>
      <w:r>
        <w:rPr>
          <w:rFonts w:eastAsia="仿宋"/>
          <w:sz w:val="24"/>
        </w:rPr>
        <w:t>图表数据约定：由于</w:t>
      </w:r>
      <w:r>
        <w:rPr>
          <w:rFonts w:eastAsia="仿宋"/>
          <w:sz w:val="24"/>
        </w:rPr>
        <w:t>2024</w:t>
      </w:r>
      <w:r>
        <w:rPr>
          <w:rFonts w:eastAsia="仿宋"/>
          <w:sz w:val="24"/>
        </w:rPr>
        <w:t>年和</w:t>
      </w:r>
      <w:r>
        <w:rPr>
          <w:rFonts w:eastAsia="仿宋"/>
          <w:sz w:val="24"/>
        </w:rPr>
        <w:t>2025</w:t>
      </w:r>
      <w:r>
        <w:rPr>
          <w:rFonts w:eastAsia="仿宋"/>
          <w:sz w:val="24"/>
        </w:rPr>
        <w:t>年数据不完整，不能代表整体的专利申请趋势，因此，在与年份有关的趋势图中将不对</w:t>
      </w:r>
      <w:r>
        <w:rPr>
          <w:rFonts w:eastAsia="仿宋"/>
          <w:sz w:val="24"/>
        </w:rPr>
        <w:t>2024</w:t>
      </w:r>
      <w:r>
        <w:rPr>
          <w:rFonts w:eastAsia="仿宋"/>
          <w:sz w:val="24"/>
        </w:rPr>
        <w:t>年和</w:t>
      </w:r>
      <w:r>
        <w:rPr>
          <w:rFonts w:eastAsia="仿宋"/>
          <w:sz w:val="24"/>
        </w:rPr>
        <w:t>2025</w:t>
      </w:r>
      <w:r>
        <w:rPr>
          <w:rFonts w:eastAsia="仿宋"/>
          <w:sz w:val="24"/>
        </w:rPr>
        <w:t>年的数据进行分析。</w:t>
      </w:r>
    </w:p>
    <w:p w:rsidR="00000000" w:rsidRDefault="00000000">
      <w:pPr>
        <w:spacing w:line="480" w:lineRule="exact"/>
        <w:ind w:firstLineChars="200" w:firstLine="560"/>
        <w:rPr>
          <w:rFonts w:eastAsia="仿宋"/>
          <w:sz w:val="28"/>
          <w:szCs w:val="28"/>
        </w:rPr>
      </w:pPr>
    </w:p>
    <w:p w:rsidR="00000000" w:rsidRDefault="00000000">
      <w:pPr>
        <w:spacing w:line="480" w:lineRule="exact"/>
        <w:ind w:firstLineChars="200" w:firstLine="560"/>
        <w:rPr>
          <w:rFonts w:eastAsia="仿宋"/>
          <w:sz w:val="28"/>
          <w:szCs w:val="28"/>
        </w:rPr>
        <w:sectPr w:rsidR="00000000">
          <w:footerReference w:type="default" r:id="rId13"/>
          <w:pgSz w:w="11906" w:h="16838"/>
          <w:pgMar w:top="1417" w:right="1417" w:bottom="1417" w:left="1417" w:header="851" w:footer="992" w:gutter="0"/>
          <w:pgBorders>
            <w:top w:val="none" w:sz="0" w:space="1" w:color="auto"/>
            <w:left w:val="none" w:sz="0" w:space="4" w:color="auto"/>
            <w:bottom w:val="none" w:sz="0" w:space="1" w:color="auto"/>
            <w:right w:val="none" w:sz="0" w:space="4" w:color="auto"/>
          </w:pgBorders>
          <w:cols w:space="720"/>
          <w:docGrid w:type="lines" w:linePitch="312"/>
        </w:sectPr>
      </w:pPr>
    </w:p>
    <w:p w:rsidR="00000000" w:rsidRDefault="00000000">
      <w:pPr>
        <w:pStyle w:val="1"/>
        <w:spacing w:before="312" w:after="312"/>
        <w:rPr>
          <w:sz w:val="32"/>
          <w:szCs w:val="32"/>
        </w:rPr>
      </w:pPr>
      <w:bookmarkStart w:id="237" w:name="_Toc13228"/>
      <w:bookmarkStart w:id="238" w:name="_Toc22558"/>
      <w:bookmarkStart w:id="239" w:name="_Toc7059"/>
      <w:bookmarkStart w:id="240" w:name="_Toc26879"/>
      <w:bookmarkStart w:id="241" w:name="_Toc19921"/>
      <w:bookmarkStart w:id="242" w:name="_Toc24435"/>
      <w:bookmarkStart w:id="243" w:name="_Toc129035403"/>
      <w:bookmarkStart w:id="244" w:name="_Toc27366"/>
      <w:bookmarkStart w:id="245" w:name="_Toc133415911"/>
      <w:bookmarkStart w:id="246" w:name="_Toc3590"/>
      <w:bookmarkStart w:id="247" w:name="_Toc123121718"/>
      <w:r>
        <w:rPr>
          <w:sz w:val="32"/>
          <w:szCs w:val="32"/>
        </w:rPr>
        <w:lastRenderedPageBreak/>
        <w:t>第三章</w:t>
      </w:r>
      <w:r>
        <w:rPr>
          <w:sz w:val="32"/>
          <w:szCs w:val="32"/>
        </w:rPr>
        <w:t xml:space="preserve"> OLED</w:t>
      </w:r>
      <w:r>
        <w:rPr>
          <w:sz w:val="32"/>
          <w:szCs w:val="32"/>
        </w:rPr>
        <w:t>发光材料产业发展方向分析</w:t>
      </w:r>
      <w:bookmarkEnd w:id="237"/>
      <w:bookmarkEnd w:id="238"/>
      <w:bookmarkEnd w:id="239"/>
      <w:bookmarkEnd w:id="240"/>
      <w:bookmarkEnd w:id="241"/>
      <w:bookmarkEnd w:id="242"/>
      <w:bookmarkEnd w:id="243"/>
      <w:bookmarkEnd w:id="244"/>
      <w:bookmarkEnd w:id="245"/>
      <w:bookmarkEnd w:id="246"/>
    </w:p>
    <w:p w:rsidR="00000000" w:rsidRDefault="00000000">
      <w:pPr>
        <w:pStyle w:val="2"/>
        <w:spacing w:before="156" w:after="156"/>
        <w:jc w:val="both"/>
        <w:rPr>
          <w:rFonts w:eastAsia="宋体"/>
          <w:szCs w:val="28"/>
        </w:rPr>
      </w:pPr>
      <w:bookmarkStart w:id="248" w:name="_Toc9271"/>
      <w:bookmarkStart w:id="249" w:name="_Toc28900"/>
      <w:bookmarkStart w:id="250" w:name="_Toc7802"/>
      <w:bookmarkStart w:id="251" w:name="_Toc30149"/>
      <w:bookmarkStart w:id="252" w:name="_Toc32482"/>
      <w:bookmarkStart w:id="253" w:name="_Toc6811"/>
      <w:bookmarkStart w:id="254" w:name="_Toc133415912"/>
      <w:bookmarkStart w:id="255" w:name="_Toc129035404"/>
      <w:bookmarkStart w:id="256" w:name="_Toc12109"/>
      <w:bookmarkStart w:id="257" w:name="_Toc2605"/>
      <w:bookmarkStart w:id="258" w:name="_Toc133415930"/>
      <w:bookmarkStart w:id="259" w:name="_Toc23200"/>
      <w:r>
        <w:rPr>
          <w:rFonts w:eastAsia="宋体"/>
          <w:szCs w:val="28"/>
        </w:rPr>
        <w:t>3.1 OLED</w:t>
      </w:r>
      <w:r>
        <w:rPr>
          <w:rFonts w:eastAsia="宋体"/>
          <w:szCs w:val="28"/>
        </w:rPr>
        <w:t>发光材料产业创新发展与专利布局的关系</w:t>
      </w:r>
      <w:bookmarkEnd w:id="248"/>
      <w:bookmarkEnd w:id="249"/>
      <w:bookmarkEnd w:id="250"/>
      <w:bookmarkEnd w:id="251"/>
      <w:bookmarkEnd w:id="252"/>
      <w:bookmarkEnd w:id="253"/>
      <w:bookmarkEnd w:id="254"/>
      <w:bookmarkEnd w:id="256"/>
    </w:p>
    <w:p w:rsidR="00000000" w:rsidRDefault="00000000">
      <w:pPr>
        <w:widowControl/>
        <w:spacing w:line="440" w:lineRule="exact"/>
        <w:ind w:firstLineChars="200" w:firstLine="480"/>
        <w:jc w:val="left"/>
        <w:rPr>
          <w:rFonts w:eastAsia="仿宋"/>
          <w:sz w:val="24"/>
        </w:rPr>
      </w:pPr>
      <w:r>
        <w:rPr>
          <w:rFonts w:eastAsia="仿宋"/>
          <w:sz w:val="24"/>
        </w:rPr>
        <w:t>本章以专利数据为基础，结合多维度产业数据，从过去、现在到未来，以技术发展、产品供需、企业地位等不同角度论证</w:t>
      </w:r>
      <w:r>
        <w:rPr>
          <w:rFonts w:eastAsia="仿宋"/>
          <w:sz w:val="24"/>
        </w:rPr>
        <w:t>OLED</w:t>
      </w:r>
      <w:r>
        <w:rPr>
          <w:rFonts w:eastAsia="仿宋"/>
          <w:sz w:val="24"/>
        </w:rPr>
        <w:t>发光材料产业专利布局与产业发展之间的关联度；其次，从技术、产品和市场等角度论证专利控制力已经成为</w:t>
      </w:r>
      <w:r>
        <w:rPr>
          <w:rFonts w:eastAsia="仿宋"/>
          <w:sz w:val="24"/>
        </w:rPr>
        <w:t>OLED</w:t>
      </w:r>
      <w:r>
        <w:rPr>
          <w:rFonts w:eastAsia="仿宋"/>
          <w:sz w:val="24"/>
        </w:rPr>
        <w:t>发光材料产业竞争力提升的关键因素；最后，从具有专利控制力的地区和企业的专利活动趋势揭示</w:t>
      </w:r>
      <w:r>
        <w:rPr>
          <w:rFonts w:eastAsia="仿宋"/>
          <w:sz w:val="24"/>
        </w:rPr>
        <w:t>OLED</w:t>
      </w:r>
      <w:r>
        <w:rPr>
          <w:rFonts w:eastAsia="仿宋"/>
          <w:sz w:val="24"/>
        </w:rPr>
        <w:t>发光材料产业及其技术发展的最新动向。</w:t>
      </w:r>
    </w:p>
    <w:p w:rsidR="00000000" w:rsidRDefault="00000000">
      <w:pPr>
        <w:pStyle w:val="3"/>
        <w:spacing w:beforeLines="50" w:before="156" w:afterLines="50" w:after="156" w:line="440" w:lineRule="exact"/>
        <w:rPr>
          <w:rFonts w:eastAsia="楷体"/>
          <w:sz w:val="28"/>
        </w:rPr>
      </w:pPr>
      <w:bookmarkStart w:id="260" w:name="_Toc16706"/>
      <w:bookmarkStart w:id="261" w:name="_Toc133415913"/>
      <w:bookmarkStart w:id="262" w:name="_Toc25159"/>
      <w:bookmarkStart w:id="263" w:name="_Toc11053"/>
      <w:bookmarkStart w:id="264" w:name="_Toc6541"/>
      <w:bookmarkStart w:id="265" w:name="_Toc29226"/>
      <w:bookmarkStart w:id="266" w:name="_Toc6346"/>
      <w:bookmarkStart w:id="267" w:name="_Toc124"/>
      <w:bookmarkStart w:id="268" w:name="_Toc129035405"/>
      <w:bookmarkEnd w:id="255"/>
      <w:r>
        <w:rPr>
          <w:rFonts w:eastAsia="楷体"/>
          <w:sz w:val="28"/>
        </w:rPr>
        <w:t xml:space="preserve">3.1.1 </w:t>
      </w:r>
      <w:r>
        <w:rPr>
          <w:rFonts w:eastAsia="楷体"/>
          <w:sz w:val="28"/>
        </w:rPr>
        <w:t>技术发展角度与专利布局的关联度分析</w:t>
      </w:r>
      <w:bookmarkEnd w:id="260"/>
      <w:bookmarkEnd w:id="261"/>
      <w:bookmarkEnd w:id="262"/>
      <w:bookmarkEnd w:id="263"/>
      <w:bookmarkEnd w:id="264"/>
      <w:bookmarkEnd w:id="265"/>
      <w:bookmarkEnd w:id="266"/>
      <w:bookmarkEnd w:id="267"/>
    </w:p>
    <w:bookmarkEnd w:id="268"/>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3-1-1</w:t>
      </w:r>
      <w:r>
        <w:rPr>
          <w:rFonts w:eastAsia="仿宋"/>
          <w:sz w:val="24"/>
        </w:rPr>
        <w:t>展示了</w:t>
      </w:r>
      <w:r>
        <w:rPr>
          <w:rFonts w:eastAsia="仿宋"/>
          <w:sz w:val="24"/>
        </w:rPr>
        <w:t>OLED</w:t>
      </w:r>
      <w:r>
        <w:rPr>
          <w:rFonts w:eastAsia="仿宋"/>
          <w:sz w:val="24"/>
        </w:rPr>
        <w:t>发光材料产业技术发展与专利布局之间的关系。截止</w:t>
      </w:r>
      <w:r>
        <w:rPr>
          <w:rFonts w:eastAsia="仿宋"/>
          <w:sz w:val="24"/>
        </w:rPr>
        <w:t>2025</w:t>
      </w:r>
      <w:r>
        <w:rPr>
          <w:rFonts w:eastAsia="仿宋"/>
          <w:sz w:val="24"/>
        </w:rPr>
        <w:t>年</w:t>
      </w:r>
      <w:r>
        <w:rPr>
          <w:rFonts w:eastAsia="仿宋"/>
          <w:sz w:val="24"/>
        </w:rPr>
        <w:t>1</w:t>
      </w:r>
      <w:r>
        <w:rPr>
          <w:rFonts w:eastAsia="仿宋"/>
          <w:sz w:val="24"/>
        </w:rPr>
        <w:t>月，涉及</w:t>
      </w:r>
      <w:r>
        <w:rPr>
          <w:rFonts w:eastAsia="仿宋"/>
          <w:sz w:val="24"/>
        </w:rPr>
        <w:t>OLED</w:t>
      </w:r>
      <w:r>
        <w:rPr>
          <w:rFonts w:eastAsia="仿宋"/>
          <w:sz w:val="24"/>
        </w:rPr>
        <w:t>发光材料产业领域的全球专利申请共计</w:t>
      </w:r>
      <w:r>
        <w:rPr>
          <w:rFonts w:eastAsia="仿宋"/>
          <w:sz w:val="24"/>
        </w:rPr>
        <w:t>40854</w:t>
      </w:r>
      <w:r>
        <w:rPr>
          <w:rFonts w:eastAsia="仿宋"/>
          <w:sz w:val="24"/>
        </w:rPr>
        <w:t>件，可以看到，在</w:t>
      </w:r>
      <w:r>
        <w:rPr>
          <w:rFonts w:eastAsia="仿宋"/>
          <w:sz w:val="24"/>
        </w:rPr>
        <w:t>OLED</w:t>
      </w:r>
      <w:r>
        <w:rPr>
          <w:rFonts w:eastAsia="仿宋"/>
          <w:sz w:val="24"/>
        </w:rPr>
        <w:t>发光材料产业领域，专利历史可以追溯到</w:t>
      </w:r>
      <w:r>
        <w:rPr>
          <w:rFonts w:eastAsia="仿宋"/>
          <w:sz w:val="24"/>
        </w:rPr>
        <w:t>1989</w:t>
      </w:r>
      <w:r>
        <w:rPr>
          <w:rFonts w:eastAsia="仿宋"/>
          <w:sz w:val="24"/>
        </w:rPr>
        <w:t>年，然而在</w:t>
      </w:r>
      <w:r>
        <w:rPr>
          <w:rFonts w:eastAsia="仿宋"/>
          <w:sz w:val="24"/>
        </w:rPr>
        <w:t>1989</w:t>
      </w:r>
      <w:r>
        <w:rPr>
          <w:rFonts w:eastAsia="仿宋"/>
          <w:sz w:val="24"/>
        </w:rPr>
        <w:t>年至</w:t>
      </w:r>
      <w:r>
        <w:rPr>
          <w:rFonts w:eastAsia="仿宋"/>
          <w:sz w:val="24"/>
        </w:rPr>
        <w:t>1996</w:t>
      </w:r>
      <w:r>
        <w:rPr>
          <w:rFonts w:eastAsia="仿宋"/>
          <w:sz w:val="24"/>
        </w:rPr>
        <w:t>年期间，该技术处于萌芽期，发展缓慢，仅有零星的专利申请。</w:t>
      </w:r>
      <w:r>
        <w:rPr>
          <w:rFonts w:eastAsia="仿宋"/>
          <w:sz w:val="24"/>
        </w:rPr>
        <w:t>1997</w:t>
      </w:r>
      <w:r>
        <w:rPr>
          <w:rFonts w:eastAsia="仿宋"/>
          <w:sz w:val="24"/>
        </w:rPr>
        <w:t>年至</w:t>
      </w:r>
      <w:r>
        <w:rPr>
          <w:rFonts w:eastAsia="仿宋"/>
          <w:sz w:val="24"/>
        </w:rPr>
        <w:t>2006</w:t>
      </w:r>
      <w:r>
        <w:rPr>
          <w:rFonts w:eastAsia="仿宋"/>
          <w:sz w:val="24"/>
        </w:rPr>
        <w:t>年，全球专利申请量有了显著增长的态势，自</w:t>
      </w:r>
      <w:r>
        <w:rPr>
          <w:rFonts w:eastAsia="仿宋"/>
          <w:sz w:val="24"/>
        </w:rPr>
        <w:t>2007</w:t>
      </w:r>
      <w:r>
        <w:rPr>
          <w:rFonts w:eastAsia="仿宋"/>
          <w:sz w:val="24"/>
        </w:rPr>
        <w:t>年开始，申请量继续上扬并进入快速增长期，表明该领域的技术研发和专利申请均保持在相当活跃的状态。</w:t>
      </w:r>
    </w:p>
    <w:p w:rsidR="00000000" w:rsidRDefault="00000000">
      <w:pPr>
        <w:widowControl/>
        <w:spacing w:line="440" w:lineRule="exact"/>
        <w:ind w:firstLineChars="200" w:firstLine="480"/>
        <w:jc w:val="left"/>
        <w:rPr>
          <w:rFonts w:eastAsia="仿宋"/>
          <w:sz w:val="24"/>
        </w:rPr>
      </w:pPr>
      <w:r>
        <w:rPr>
          <w:rFonts w:eastAsia="仿宋"/>
          <w:sz w:val="24"/>
        </w:rPr>
        <w:t>在专利技术发展的不同阶段，专利申请量与专利申请人的数量一般会呈现周期性规律。主要分为五个阶段：</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1</w:t>
      </w:r>
      <w:r>
        <w:rPr>
          <w:rFonts w:eastAsia="仿宋"/>
          <w:sz w:val="24"/>
        </w:rPr>
        <w:t>）萌芽期：重要的基本发明的诞生，在该阶段，研究和开发主要集中在葛少数几个公司，专利申请量与专利申请人数量都不多，集中度较高；。</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2</w:t>
      </w:r>
      <w:r>
        <w:rPr>
          <w:rFonts w:eastAsia="仿宋"/>
          <w:sz w:val="24"/>
        </w:rPr>
        <w:t>）成长期：基本发明纵向发展和横向发展，应用发明专利逐渐出现。在该阶段，技术有了突破性的进展，市场扩大，介入的企业增多，专利申请量与专利申请人数量会急剧上升。</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3</w:t>
      </w:r>
      <w:r>
        <w:rPr>
          <w:rFonts w:eastAsia="仿宋"/>
          <w:sz w:val="24"/>
        </w:rPr>
        <w:t>）成熟期：技术趋于成熟，除少量企业外，大多数企业已经不再投入研发力量，也没有新的企业愿意进入。</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4</w:t>
      </w:r>
      <w:r>
        <w:rPr>
          <w:rFonts w:eastAsia="仿宋"/>
          <w:sz w:val="24"/>
        </w:rPr>
        <w:t>）衰退期：经过市场淘汰，申请人数量大为减少，专利数量维持稳定，技术的发展进入下降期，进展不大。当技术老化后，不少企业退出，每年申请的专利数量和企业数量呈负增长。</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5</w:t>
      </w:r>
      <w:r>
        <w:rPr>
          <w:rFonts w:eastAsia="仿宋"/>
          <w:sz w:val="24"/>
        </w:rPr>
        <w:t>）复苏期：技术是否进入复苏期，主要取决于是否由突破性创新，可以为技术市场注入活力。</w:t>
      </w:r>
    </w:p>
    <w:p w:rsidR="00000000" w:rsidRDefault="00000000">
      <w:pPr>
        <w:widowControl/>
        <w:spacing w:line="440" w:lineRule="exact"/>
        <w:ind w:firstLineChars="200" w:firstLine="480"/>
        <w:jc w:val="left"/>
        <w:rPr>
          <w:rFonts w:eastAsia="仿宋"/>
          <w:sz w:val="24"/>
        </w:rPr>
      </w:pPr>
      <w:r>
        <w:rPr>
          <w:rFonts w:eastAsia="仿宋"/>
          <w:sz w:val="24"/>
        </w:rPr>
        <w:lastRenderedPageBreak/>
        <w:t>按照生命周期的发展趋势，</w:t>
      </w:r>
      <w:r>
        <w:rPr>
          <w:rFonts w:eastAsia="仿宋"/>
          <w:sz w:val="24"/>
        </w:rPr>
        <w:t>OLED</w:t>
      </w:r>
      <w:r>
        <w:rPr>
          <w:rFonts w:eastAsia="仿宋"/>
          <w:sz w:val="24"/>
        </w:rPr>
        <w:t>发光材料领域经过一定的成长期后经过了短暂的成熟期，目前处于衰退期，未来几年会再次进入快速发展期，即伴随着技术突破，专利申请量与专利申请人数量会进一步上升。</w:t>
      </w:r>
    </w:p>
    <w:p w:rsidR="00000000" w:rsidRDefault="00000000">
      <w:pPr>
        <w:widowControl/>
        <w:spacing w:line="440" w:lineRule="exact"/>
        <w:ind w:firstLineChars="200" w:firstLine="480"/>
        <w:jc w:val="left"/>
        <w:rPr>
          <w:rFonts w:eastAsia="仿宋"/>
          <w:sz w:val="24"/>
        </w:rPr>
      </w:pPr>
      <w:r>
        <w:rPr>
          <w:rFonts w:eastAsia="仿宋"/>
          <w:sz w:val="24"/>
        </w:rPr>
        <w:t>可见在产业发展的过程中，专利布局始终伴随着</w:t>
      </w:r>
      <w:r>
        <w:rPr>
          <w:rFonts w:eastAsia="仿宋"/>
          <w:sz w:val="24"/>
        </w:rPr>
        <w:t>OLED</w:t>
      </w:r>
      <w:r>
        <w:rPr>
          <w:rFonts w:eastAsia="仿宋"/>
          <w:sz w:val="24"/>
        </w:rPr>
        <w:t>发光材料的技术和产品创新，是</w:t>
      </w:r>
      <w:r>
        <w:rPr>
          <w:rFonts w:eastAsia="仿宋"/>
          <w:sz w:val="24"/>
        </w:rPr>
        <w:t>OLED</w:t>
      </w:r>
      <w:r>
        <w:rPr>
          <w:rFonts w:eastAsia="仿宋"/>
          <w:sz w:val="24"/>
        </w:rPr>
        <w:t>发光材料产业技术发展的重要承载体。</w:t>
      </w:r>
    </w:p>
    <w:p w:rsidR="00000000" w:rsidRDefault="000A495B">
      <w:pPr>
        <w:pStyle w:val="afd"/>
        <w:rPr>
          <w:rFonts w:eastAsia="仿宋" w:cs="Times New Roman"/>
        </w:rPr>
      </w:pPr>
      <w:r>
        <w:rPr>
          <w:noProof/>
        </w:rPr>
        <w:drawing>
          <wp:inline distT="0" distB="0" distL="0" distR="0">
            <wp:extent cx="5610225" cy="2400300"/>
            <wp:effectExtent l="0" t="0" r="0" b="0"/>
            <wp:docPr id="1"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40030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3-1-1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全球</w:t>
      </w:r>
      <w:bookmarkStart w:id="269" w:name="_Toc129035406"/>
      <w:r>
        <w:rPr>
          <w:rFonts w:eastAsia="仿宋" w:cs="Times New Roman"/>
          <w:sz w:val="24"/>
          <w:szCs w:val="24"/>
        </w:rPr>
        <w:t>专利申请逐年变化图</w:t>
      </w:r>
    </w:p>
    <w:p w:rsidR="00000000" w:rsidRDefault="000A495B">
      <w:pPr>
        <w:pStyle w:val="afd"/>
        <w:rPr>
          <w:rFonts w:cs="Times New Roman"/>
        </w:rPr>
      </w:pPr>
      <w:r>
        <w:rPr>
          <w:noProof/>
        </w:rPr>
        <w:drawing>
          <wp:inline distT="0" distB="0" distL="0" distR="0">
            <wp:extent cx="5610225" cy="2257425"/>
            <wp:effectExtent l="0" t="0" r="0" b="0"/>
            <wp:docPr id="2"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225742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3-1-2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全球专利生命周期图</w:t>
      </w:r>
    </w:p>
    <w:p w:rsidR="00000000" w:rsidRDefault="00000000">
      <w:pPr>
        <w:pStyle w:val="3"/>
        <w:spacing w:beforeLines="50" w:before="156" w:afterLines="50" w:after="156" w:line="440" w:lineRule="exact"/>
        <w:rPr>
          <w:rFonts w:eastAsia="楷体"/>
          <w:sz w:val="28"/>
        </w:rPr>
      </w:pPr>
      <w:bookmarkStart w:id="270" w:name="_Toc10215"/>
      <w:bookmarkStart w:id="271" w:name="_Toc15954"/>
      <w:bookmarkStart w:id="272" w:name="_Toc18879"/>
      <w:bookmarkStart w:id="273" w:name="_Toc24643"/>
      <w:bookmarkStart w:id="274" w:name="_Toc26841"/>
      <w:bookmarkStart w:id="275" w:name="_Toc3490"/>
      <w:bookmarkStart w:id="276" w:name="_Toc15052"/>
      <w:bookmarkStart w:id="277" w:name="_Toc133415914"/>
      <w:r>
        <w:rPr>
          <w:rFonts w:eastAsia="楷体"/>
          <w:sz w:val="28"/>
        </w:rPr>
        <w:t>3.1.2 OLED</w:t>
      </w:r>
      <w:r>
        <w:rPr>
          <w:rFonts w:eastAsia="楷体"/>
          <w:sz w:val="28"/>
        </w:rPr>
        <w:t>发光材料产业分支角度与专利布局的关联度分析</w:t>
      </w:r>
      <w:bookmarkEnd w:id="270"/>
      <w:bookmarkEnd w:id="271"/>
      <w:bookmarkEnd w:id="272"/>
      <w:bookmarkEnd w:id="273"/>
      <w:bookmarkEnd w:id="274"/>
      <w:bookmarkEnd w:id="275"/>
      <w:bookmarkEnd w:id="276"/>
      <w:bookmarkEnd w:id="277"/>
    </w:p>
    <w:p w:rsidR="00000000" w:rsidRDefault="00000000">
      <w:pPr>
        <w:widowControl/>
        <w:spacing w:line="440" w:lineRule="exact"/>
        <w:ind w:firstLineChars="200" w:firstLine="480"/>
        <w:jc w:val="left"/>
        <w:rPr>
          <w:rFonts w:eastAsia="仿宋"/>
          <w:sz w:val="24"/>
        </w:rPr>
      </w:pPr>
      <w:r>
        <w:rPr>
          <w:rFonts w:eastAsia="仿宋"/>
          <w:sz w:val="24"/>
        </w:rPr>
        <w:t>从大的分类来说，</w:t>
      </w:r>
      <w:r>
        <w:rPr>
          <w:rFonts w:eastAsia="仿宋"/>
          <w:sz w:val="24"/>
        </w:rPr>
        <w:t>OLED</w:t>
      </w:r>
      <w:r>
        <w:rPr>
          <w:rFonts w:eastAsia="仿宋"/>
          <w:sz w:val="24"/>
        </w:rPr>
        <w:t>发光材料产业主要包括发光层、空穴功能层、电子功能层和界面修饰层。星载系统进一步分为卫星平台和遥感器；地面控制处理系统进一步分为战网和数据处理和管理中心。</w:t>
      </w:r>
    </w:p>
    <w:p w:rsidR="00000000" w:rsidRDefault="00000000">
      <w:pPr>
        <w:widowControl/>
        <w:spacing w:line="440" w:lineRule="exact"/>
        <w:ind w:firstLineChars="200" w:firstLine="480"/>
        <w:jc w:val="left"/>
        <w:rPr>
          <w:rFonts w:eastAsia="仿宋"/>
          <w:sz w:val="24"/>
        </w:rPr>
      </w:pPr>
      <w:r>
        <w:rPr>
          <w:rFonts w:eastAsia="仿宋"/>
          <w:sz w:val="24"/>
        </w:rPr>
        <w:lastRenderedPageBreak/>
        <w:t>如图</w:t>
      </w:r>
      <w:r>
        <w:rPr>
          <w:rFonts w:eastAsia="仿宋"/>
          <w:sz w:val="24"/>
        </w:rPr>
        <w:t>3-1-3</w:t>
      </w:r>
      <w:r>
        <w:rPr>
          <w:rFonts w:eastAsia="仿宋"/>
          <w:sz w:val="24"/>
        </w:rPr>
        <w:t>所示，给出了</w:t>
      </w:r>
      <w:r>
        <w:rPr>
          <w:rFonts w:eastAsia="仿宋"/>
          <w:sz w:val="24"/>
        </w:rPr>
        <w:t>OLED</w:t>
      </w:r>
      <w:r>
        <w:rPr>
          <w:rFonts w:eastAsia="仿宋"/>
          <w:sz w:val="24"/>
        </w:rPr>
        <w:t>发光材料产业各个二级分支的专利申请趋势，从申请趋势上来看，图中，横坐标代表申请的年份，纵坐标代表申请量，从图中可以看出，在</w:t>
      </w:r>
      <w:r>
        <w:rPr>
          <w:rFonts w:eastAsia="仿宋"/>
          <w:sz w:val="24"/>
        </w:rPr>
        <w:t>1996</w:t>
      </w:r>
      <w:r>
        <w:rPr>
          <w:rFonts w:eastAsia="仿宋"/>
          <w:sz w:val="24"/>
        </w:rPr>
        <w:t>年以前，各个技术领域相关专利数量不多发展较为缓慢，</w:t>
      </w:r>
      <w:r>
        <w:rPr>
          <w:rFonts w:eastAsia="仿宋"/>
          <w:sz w:val="24"/>
        </w:rPr>
        <w:t>1997</w:t>
      </w:r>
      <w:r>
        <w:rPr>
          <w:rFonts w:eastAsia="仿宋"/>
          <w:sz w:val="24"/>
        </w:rPr>
        <w:t>年之后，各个技术领域开始申请专利，但是数量不多，</w:t>
      </w:r>
      <w:r>
        <w:rPr>
          <w:rFonts w:eastAsia="仿宋"/>
          <w:sz w:val="24"/>
        </w:rPr>
        <w:t>2000</w:t>
      </w:r>
      <w:r>
        <w:rPr>
          <w:rFonts w:eastAsia="仿宋"/>
          <w:sz w:val="24"/>
        </w:rPr>
        <w:t>年以后，专利申请量逐渐提高，尤其是在</w:t>
      </w:r>
      <w:r>
        <w:rPr>
          <w:rFonts w:eastAsia="仿宋"/>
          <w:sz w:val="24"/>
        </w:rPr>
        <w:t>2009</w:t>
      </w:r>
      <w:r>
        <w:rPr>
          <w:rFonts w:eastAsia="仿宋"/>
          <w:sz w:val="24"/>
        </w:rPr>
        <w:t>年之后，专利申请量快速增长，说明关于</w:t>
      </w:r>
      <w:r>
        <w:rPr>
          <w:rFonts w:eastAsia="仿宋"/>
          <w:sz w:val="24"/>
        </w:rPr>
        <w:t>OLED</w:t>
      </w:r>
      <w:r>
        <w:rPr>
          <w:rFonts w:eastAsia="仿宋"/>
          <w:sz w:val="24"/>
        </w:rPr>
        <w:t>发光材料产业各个技术分支进入快速发展时期；由于</w:t>
      </w:r>
      <w:r>
        <w:rPr>
          <w:rFonts w:eastAsia="仿宋"/>
          <w:sz w:val="24"/>
        </w:rPr>
        <w:t>2024</w:t>
      </w:r>
      <w:r>
        <w:rPr>
          <w:rFonts w:eastAsia="仿宋"/>
          <w:sz w:val="24"/>
        </w:rPr>
        <w:t>和</w:t>
      </w:r>
      <w:r>
        <w:rPr>
          <w:rFonts w:eastAsia="仿宋"/>
          <w:sz w:val="24"/>
        </w:rPr>
        <w:t>2025</w:t>
      </w:r>
      <w:r>
        <w:rPr>
          <w:rFonts w:eastAsia="仿宋"/>
          <w:sz w:val="24"/>
        </w:rPr>
        <w:t>年的专利申请处于未公开阶段，所以</w:t>
      </w:r>
      <w:r>
        <w:rPr>
          <w:rFonts w:eastAsia="仿宋"/>
          <w:sz w:val="24"/>
        </w:rPr>
        <w:t>2024</w:t>
      </w:r>
      <w:r>
        <w:rPr>
          <w:rFonts w:eastAsia="仿宋"/>
          <w:sz w:val="24"/>
        </w:rPr>
        <w:t>年和</w:t>
      </w:r>
      <w:r>
        <w:rPr>
          <w:rFonts w:eastAsia="仿宋"/>
          <w:sz w:val="24"/>
        </w:rPr>
        <w:t>2025</w:t>
      </w:r>
      <w:r>
        <w:rPr>
          <w:rFonts w:eastAsia="仿宋"/>
          <w:sz w:val="24"/>
        </w:rPr>
        <w:t>年的专利申请量不代表整体发展趋势。</w:t>
      </w:r>
    </w:p>
    <w:p w:rsidR="00000000" w:rsidRDefault="000A495B">
      <w:r>
        <w:rPr>
          <w:noProof/>
        </w:rPr>
        <w:drawing>
          <wp:inline distT="0" distB="0" distL="0" distR="0">
            <wp:extent cx="5610225" cy="2600325"/>
            <wp:effectExtent l="0" t="0" r="0" b="0"/>
            <wp:docPr id="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600325"/>
                    </a:xfrm>
                    <a:prstGeom prst="rect">
                      <a:avLst/>
                    </a:prstGeom>
                    <a:noFill/>
                    <a:ln>
                      <a:noFill/>
                    </a:ln>
                  </pic:spPr>
                </pic:pic>
              </a:graphicData>
            </a:graphic>
          </wp:inline>
        </w:drawing>
      </w:r>
    </w:p>
    <w:p w:rsidR="00000000" w:rsidRDefault="00000000">
      <w:pPr>
        <w:jc w:val="center"/>
        <w:rPr>
          <w:rFonts w:eastAsia="仿宋"/>
          <w:sz w:val="28"/>
          <w:szCs w:val="28"/>
        </w:rPr>
      </w:pPr>
      <w:r>
        <w:rPr>
          <w:rFonts w:eastAsia="仿宋"/>
          <w:sz w:val="24"/>
        </w:rPr>
        <w:t>图</w:t>
      </w:r>
      <w:r>
        <w:rPr>
          <w:rFonts w:eastAsia="仿宋"/>
          <w:sz w:val="24"/>
        </w:rPr>
        <w:t>3-1-</w:t>
      </w:r>
      <w:r>
        <w:rPr>
          <w:rFonts w:eastAsia="仿宋" w:hint="eastAsia"/>
          <w:sz w:val="24"/>
        </w:rPr>
        <w:t>2</w:t>
      </w:r>
      <w:r>
        <w:rPr>
          <w:rFonts w:eastAsia="仿宋"/>
          <w:sz w:val="24"/>
        </w:rPr>
        <w:t xml:space="preserve"> </w:t>
      </w:r>
      <w:r>
        <w:rPr>
          <w:rFonts w:eastAsia="仿宋" w:hint="eastAsia"/>
          <w:sz w:val="24"/>
        </w:rPr>
        <w:t>OLED</w:t>
      </w:r>
      <w:r>
        <w:rPr>
          <w:rFonts w:eastAsia="仿宋" w:hint="eastAsia"/>
          <w:sz w:val="24"/>
        </w:rPr>
        <w:t>发光材料产业二</w:t>
      </w:r>
      <w:r>
        <w:rPr>
          <w:rFonts w:eastAsia="仿宋"/>
          <w:sz w:val="24"/>
        </w:rPr>
        <w:t>级分支申请趋势图</w:t>
      </w:r>
    </w:p>
    <w:p w:rsidR="00000000" w:rsidRDefault="00000000">
      <w:pPr>
        <w:pStyle w:val="3"/>
        <w:spacing w:beforeLines="50" w:before="156" w:afterLines="50" w:after="156" w:line="440" w:lineRule="exact"/>
        <w:rPr>
          <w:rFonts w:eastAsia="楷体"/>
          <w:sz w:val="28"/>
        </w:rPr>
      </w:pPr>
      <w:bookmarkStart w:id="278" w:name="_Toc20303"/>
      <w:bookmarkStart w:id="279" w:name="_Toc19636"/>
      <w:bookmarkStart w:id="280" w:name="_Toc9738"/>
      <w:bookmarkStart w:id="281" w:name="_Toc10186"/>
      <w:bookmarkStart w:id="282" w:name="_Toc12992"/>
      <w:bookmarkStart w:id="283" w:name="_Toc3257"/>
      <w:bookmarkStart w:id="284" w:name="_Toc133415915"/>
      <w:bookmarkStart w:id="285" w:name="_Toc6047"/>
      <w:bookmarkEnd w:id="269"/>
      <w:r>
        <w:rPr>
          <w:rFonts w:eastAsia="楷体"/>
          <w:sz w:val="28"/>
        </w:rPr>
        <w:t xml:space="preserve">3.1.3 </w:t>
      </w:r>
      <w:r>
        <w:rPr>
          <w:rFonts w:eastAsia="楷体"/>
          <w:sz w:val="28"/>
        </w:rPr>
        <w:t>从市场竞争地位看</w:t>
      </w:r>
      <w:r>
        <w:rPr>
          <w:rFonts w:eastAsia="楷体"/>
          <w:sz w:val="28"/>
        </w:rPr>
        <w:t>OLED</w:t>
      </w:r>
      <w:r>
        <w:rPr>
          <w:rFonts w:eastAsia="楷体"/>
          <w:sz w:val="28"/>
        </w:rPr>
        <w:t>发光材料与专利布局的关联度</w:t>
      </w:r>
      <w:bookmarkEnd w:id="278"/>
      <w:bookmarkEnd w:id="279"/>
      <w:bookmarkEnd w:id="280"/>
      <w:bookmarkEnd w:id="281"/>
      <w:bookmarkEnd w:id="282"/>
      <w:bookmarkEnd w:id="283"/>
      <w:bookmarkEnd w:id="284"/>
      <w:bookmarkEnd w:id="285"/>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3-1-4</w:t>
      </w:r>
      <w:r>
        <w:rPr>
          <w:rFonts w:eastAsia="仿宋"/>
          <w:sz w:val="24"/>
        </w:rPr>
        <w:t>给出了</w:t>
      </w:r>
      <w:r>
        <w:rPr>
          <w:rFonts w:eastAsia="仿宋"/>
          <w:sz w:val="24"/>
        </w:rPr>
        <w:t>OLED</w:t>
      </w:r>
      <w:r>
        <w:rPr>
          <w:rFonts w:eastAsia="仿宋"/>
          <w:sz w:val="24"/>
        </w:rPr>
        <w:t>发光材料产业技术领域前十名的申请人排名，其中，横坐标为专利申请人，纵坐标为专利申请数量，从图中可以看出，</w:t>
      </w:r>
      <w:r>
        <w:rPr>
          <w:rFonts w:eastAsia="仿宋"/>
          <w:sz w:val="24"/>
        </w:rPr>
        <w:t>OLED</w:t>
      </w:r>
      <w:r>
        <w:rPr>
          <w:rFonts w:eastAsia="仿宋"/>
          <w:sz w:val="24"/>
        </w:rPr>
        <w:t>发光材料产业技术领域，申请量最多的为三星显示，申请量为</w:t>
      </w:r>
      <w:r>
        <w:rPr>
          <w:rFonts w:eastAsia="仿宋"/>
          <w:sz w:val="24"/>
        </w:rPr>
        <w:t>5427</w:t>
      </w:r>
      <w:r>
        <w:rPr>
          <w:rFonts w:eastAsia="仿宋"/>
          <w:sz w:val="24"/>
        </w:rPr>
        <w:t>件，其次为华星光电集团，申请量为</w:t>
      </w:r>
      <w:r>
        <w:rPr>
          <w:rFonts w:eastAsia="仿宋"/>
          <w:sz w:val="24"/>
        </w:rPr>
        <w:t>4686</w:t>
      </w:r>
      <w:r>
        <w:rPr>
          <w:rFonts w:eastAsia="仿宋"/>
          <w:sz w:val="24"/>
        </w:rPr>
        <w:t>件，然后为</w:t>
      </w:r>
      <w:r>
        <w:rPr>
          <w:rFonts w:eastAsia="仿宋"/>
          <w:sz w:val="24"/>
        </w:rPr>
        <w:t>LG</w:t>
      </w:r>
      <w:r>
        <w:rPr>
          <w:rFonts w:eastAsia="仿宋"/>
          <w:sz w:val="24"/>
        </w:rPr>
        <w:t>显示器股份有限公司，申请量为</w:t>
      </w:r>
      <w:r>
        <w:rPr>
          <w:rFonts w:eastAsia="仿宋"/>
          <w:sz w:val="24"/>
        </w:rPr>
        <w:t>4045</w:t>
      </w:r>
      <w:r>
        <w:rPr>
          <w:rFonts w:eastAsia="仿宋"/>
          <w:sz w:val="24"/>
        </w:rPr>
        <w:t>件、环球展览公司申请量为</w:t>
      </w:r>
      <w:r>
        <w:rPr>
          <w:rFonts w:eastAsia="仿宋"/>
          <w:sz w:val="24"/>
        </w:rPr>
        <w:t>1038</w:t>
      </w:r>
      <w:r>
        <w:rPr>
          <w:rFonts w:eastAsia="仿宋"/>
          <w:sz w:val="24"/>
        </w:rPr>
        <w:t>件、马克专利公司申请量为</w:t>
      </w:r>
      <w:r>
        <w:rPr>
          <w:rFonts w:eastAsia="仿宋"/>
          <w:sz w:val="24"/>
        </w:rPr>
        <w:t>917</w:t>
      </w:r>
      <w:r>
        <w:rPr>
          <w:rFonts w:eastAsia="仿宋"/>
          <w:sz w:val="24"/>
        </w:rPr>
        <w:t>件、京东方集团申请量为</w:t>
      </w:r>
      <w:r>
        <w:rPr>
          <w:rFonts w:eastAsia="仿宋"/>
          <w:sz w:val="24"/>
        </w:rPr>
        <w:t>787</w:t>
      </w:r>
      <w:r>
        <w:rPr>
          <w:rFonts w:eastAsia="仿宋"/>
          <w:sz w:val="24"/>
        </w:rPr>
        <w:t>件、诺瓦莱德公开股份有限公司申请量为</w:t>
      </w:r>
      <w:r>
        <w:rPr>
          <w:rFonts w:eastAsia="仿宋"/>
          <w:sz w:val="24"/>
        </w:rPr>
        <w:t>700</w:t>
      </w:r>
      <w:r>
        <w:rPr>
          <w:rFonts w:eastAsia="仿宋"/>
          <w:sz w:val="24"/>
        </w:rPr>
        <w:t>件、海洋王照明科技股份有限公司申请量为</w:t>
      </w:r>
      <w:r>
        <w:rPr>
          <w:rFonts w:eastAsia="仿宋"/>
          <w:sz w:val="24"/>
        </w:rPr>
        <w:t>692</w:t>
      </w:r>
      <w:r>
        <w:rPr>
          <w:rFonts w:eastAsia="仿宋"/>
          <w:sz w:val="24"/>
        </w:rPr>
        <w:t>件、株式会社半导体能源研究所申请量为</w:t>
      </w:r>
      <w:r>
        <w:rPr>
          <w:rFonts w:eastAsia="仿宋"/>
          <w:sz w:val="24"/>
        </w:rPr>
        <w:t>683</w:t>
      </w:r>
      <w:r>
        <w:rPr>
          <w:rFonts w:eastAsia="仿宋"/>
          <w:sz w:val="24"/>
        </w:rPr>
        <w:t>件、深圳市海洋王照明技术有限公司申请量为</w:t>
      </w:r>
      <w:r>
        <w:rPr>
          <w:rFonts w:eastAsia="仿宋"/>
          <w:sz w:val="24"/>
        </w:rPr>
        <w:t>63</w:t>
      </w:r>
      <w:r>
        <w:rPr>
          <w:rFonts w:eastAsia="仿宋"/>
          <w:sz w:val="24"/>
        </w:rPr>
        <w:t>件。</w:t>
      </w:r>
    </w:p>
    <w:p w:rsidR="00000000" w:rsidRDefault="000A495B">
      <w:pPr>
        <w:jc w:val="center"/>
        <w:rPr>
          <w:rFonts w:eastAsia="仿宋"/>
        </w:rPr>
      </w:pPr>
      <w:r>
        <w:rPr>
          <w:noProof/>
        </w:rPr>
        <w:lastRenderedPageBreak/>
        <w:drawing>
          <wp:inline distT="0" distB="0" distL="0" distR="0">
            <wp:extent cx="5619750" cy="2305050"/>
            <wp:effectExtent l="0" t="0" r="0" b="0"/>
            <wp:docPr id="4"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230505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3-1-4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技术领域前十名的申请人排名</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3-1-5</w:t>
      </w:r>
      <w:r>
        <w:rPr>
          <w:rFonts w:eastAsia="仿宋"/>
          <w:sz w:val="24"/>
        </w:rPr>
        <w:t>给出了</w:t>
      </w:r>
      <w:r>
        <w:rPr>
          <w:rFonts w:eastAsia="仿宋"/>
          <w:sz w:val="24"/>
        </w:rPr>
        <w:t>OLED</w:t>
      </w:r>
      <w:r>
        <w:rPr>
          <w:rFonts w:eastAsia="仿宋"/>
          <w:sz w:val="24"/>
        </w:rPr>
        <w:t>发光材料产业技术领域全球申请量国家分布情况，从申请人国家分布情况饼状图可以看出，中国的申请人数量占比最高，意味着中国在</w:t>
      </w:r>
      <w:r>
        <w:rPr>
          <w:rFonts w:eastAsia="仿宋"/>
          <w:sz w:val="24"/>
        </w:rPr>
        <w:t>OLED</w:t>
      </w:r>
      <w:r>
        <w:rPr>
          <w:rFonts w:eastAsia="仿宋"/>
          <w:sz w:val="24"/>
        </w:rPr>
        <w:t>发光材料领域有着强烈的创新氛围。这些创新来源广泛，来自于企业、研究机构、高校或个人，反映了国家的整体创新能力和技术水平，也反映了企业和个人对知识产权的保护有很高的认识和重视，愿意通过申请专利来维护自己的合法权益。</w:t>
      </w:r>
    </w:p>
    <w:p w:rsidR="00000000" w:rsidRDefault="000A495B">
      <w:pPr>
        <w:pStyle w:val="afd"/>
        <w:rPr>
          <w:rFonts w:cs="Times New Roman"/>
        </w:rPr>
      </w:pPr>
      <w:r>
        <w:rPr>
          <w:noProof/>
        </w:rPr>
        <w:drawing>
          <wp:inline distT="0" distB="0" distL="0" distR="0">
            <wp:extent cx="5295900" cy="2800350"/>
            <wp:effectExtent l="0" t="0" r="0" b="0"/>
            <wp:docPr id="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800350"/>
                    </a:xfrm>
                    <a:prstGeom prst="rect">
                      <a:avLst/>
                    </a:prstGeom>
                    <a:noFill/>
                    <a:ln>
                      <a:noFill/>
                    </a:ln>
                    <a:effectLst/>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3-1-5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技术领域全球申请量国家分布</w:t>
      </w:r>
    </w:p>
    <w:p w:rsidR="00000000" w:rsidRDefault="00000000">
      <w:pPr>
        <w:pStyle w:val="3"/>
        <w:spacing w:beforeLines="50" w:before="156" w:afterLines="50" w:after="156" w:line="440" w:lineRule="exact"/>
        <w:rPr>
          <w:rFonts w:eastAsia="楷体"/>
          <w:sz w:val="28"/>
        </w:rPr>
      </w:pPr>
      <w:bookmarkStart w:id="286" w:name="_Toc133415916"/>
      <w:bookmarkStart w:id="287" w:name="_Toc12140"/>
      <w:bookmarkStart w:id="288" w:name="_Toc16179"/>
      <w:bookmarkStart w:id="289" w:name="_Toc8411"/>
      <w:bookmarkStart w:id="290" w:name="_Toc8291"/>
      <w:bookmarkStart w:id="291" w:name="_Toc2891"/>
      <w:bookmarkStart w:id="292" w:name="_Toc29719"/>
      <w:bookmarkStart w:id="293" w:name="_Toc30692"/>
      <w:r>
        <w:rPr>
          <w:rFonts w:eastAsia="楷体"/>
          <w:sz w:val="28"/>
        </w:rPr>
        <w:t xml:space="preserve">3.1.4 </w:t>
      </w:r>
      <w:r>
        <w:rPr>
          <w:rFonts w:eastAsia="楷体"/>
          <w:sz w:val="28"/>
        </w:rPr>
        <w:t>从国内产业格局看</w:t>
      </w:r>
      <w:r>
        <w:rPr>
          <w:rFonts w:eastAsia="楷体"/>
          <w:sz w:val="28"/>
        </w:rPr>
        <w:t>OLED</w:t>
      </w:r>
      <w:r>
        <w:rPr>
          <w:rFonts w:eastAsia="楷体"/>
          <w:sz w:val="28"/>
        </w:rPr>
        <w:t>发光材料与专利布局的关联度</w:t>
      </w:r>
      <w:bookmarkEnd w:id="286"/>
      <w:bookmarkEnd w:id="287"/>
      <w:bookmarkEnd w:id="288"/>
      <w:bookmarkEnd w:id="289"/>
      <w:bookmarkEnd w:id="290"/>
      <w:bookmarkEnd w:id="291"/>
      <w:bookmarkEnd w:id="292"/>
      <w:bookmarkEnd w:id="293"/>
    </w:p>
    <w:p w:rsidR="00000000" w:rsidRDefault="00000000">
      <w:pPr>
        <w:widowControl/>
        <w:spacing w:line="440" w:lineRule="exact"/>
        <w:ind w:firstLineChars="200" w:firstLine="480"/>
        <w:jc w:val="left"/>
        <w:rPr>
          <w:rFonts w:eastAsia="仿宋"/>
          <w:sz w:val="24"/>
        </w:rPr>
      </w:pPr>
      <w:r>
        <w:rPr>
          <w:rFonts w:eastAsia="仿宋"/>
          <w:sz w:val="24"/>
        </w:rPr>
        <w:t>中国专利布局从绝对数量的排名可以初步反映出</w:t>
      </w:r>
      <w:r>
        <w:rPr>
          <w:rFonts w:eastAsia="仿宋"/>
          <w:sz w:val="24"/>
        </w:rPr>
        <w:t>OLED</w:t>
      </w:r>
      <w:r>
        <w:rPr>
          <w:rFonts w:eastAsia="仿宋"/>
          <w:sz w:val="24"/>
        </w:rPr>
        <w:t>发光材料产业竞争地位的排名，如图</w:t>
      </w:r>
      <w:r>
        <w:rPr>
          <w:rFonts w:eastAsia="仿宋"/>
          <w:sz w:val="24"/>
        </w:rPr>
        <w:t>3-1-6</w:t>
      </w:r>
      <w:r>
        <w:rPr>
          <w:rFonts w:eastAsia="仿宋"/>
          <w:sz w:val="24"/>
        </w:rPr>
        <w:t>所示为</w:t>
      </w:r>
      <w:r>
        <w:rPr>
          <w:rFonts w:eastAsia="仿宋"/>
          <w:sz w:val="24"/>
        </w:rPr>
        <w:t>OLED</w:t>
      </w:r>
      <w:r>
        <w:rPr>
          <w:rFonts w:eastAsia="仿宋"/>
          <w:sz w:val="24"/>
        </w:rPr>
        <w:t>发光材料产业相关专利技术各省排名图，从图中看出的，广东的</w:t>
      </w:r>
      <w:r>
        <w:rPr>
          <w:rFonts w:eastAsia="仿宋"/>
          <w:sz w:val="24"/>
        </w:rPr>
        <w:t>OLED</w:t>
      </w:r>
      <w:r>
        <w:rPr>
          <w:rFonts w:eastAsia="仿宋"/>
          <w:sz w:val="24"/>
        </w:rPr>
        <w:t>发光材料领域专利申请数量全国第一，申请量为</w:t>
      </w:r>
      <w:r>
        <w:rPr>
          <w:rFonts w:eastAsia="仿宋"/>
          <w:sz w:val="24"/>
        </w:rPr>
        <w:t>2378</w:t>
      </w:r>
      <w:r>
        <w:rPr>
          <w:rFonts w:eastAsia="仿宋"/>
          <w:sz w:val="24"/>
        </w:rPr>
        <w:t>件，遥遥领先于其</w:t>
      </w:r>
      <w:r>
        <w:rPr>
          <w:rFonts w:eastAsia="仿宋"/>
          <w:sz w:val="24"/>
        </w:rPr>
        <w:lastRenderedPageBreak/>
        <w:t>他省份，这与其产业相对地位一致，其次为北京</w:t>
      </w:r>
      <w:r>
        <w:rPr>
          <w:rFonts w:eastAsia="仿宋"/>
          <w:sz w:val="24"/>
        </w:rPr>
        <w:t>2075</w:t>
      </w:r>
      <w:r>
        <w:rPr>
          <w:rFonts w:eastAsia="仿宋"/>
          <w:sz w:val="24"/>
        </w:rPr>
        <w:t>件，专利申请都处于第一梯队，其他相对较多的省份，如江苏和湖北，申请量也都在</w:t>
      </w:r>
      <w:r>
        <w:rPr>
          <w:rFonts w:eastAsia="仿宋"/>
          <w:sz w:val="24"/>
        </w:rPr>
        <w:t>800</w:t>
      </w:r>
      <w:r>
        <w:rPr>
          <w:rFonts w:eastAsia="仿宋"/>
          <w:sz w:val="24"/>
        </w:rPr>
        <w:t>件以上，吉林省的申请量为</w:t>
      </w:r>
      <w:r>
        <w:rPr>
          <w:rFonts w:eastAsia="仿宋"/>
          <w:sz w:val="24"/>
        </w:rPr>
        <w:t>770</w:t>
      </w:r>
      <w:r>
        <w:rPr>
          <w:rFonts w:eastAsia="仿宋"/>
          <w:sz w:val="24"/>
        </w:rPr>
        <w:t>件，在全国各省份排名第</w:t>
      </w:r>
      <w:r>
        <w:rPr>
          <w:rFonts w:eastAsia="仿宋"/>
          <w:sz w:val="24"/>
        </w:rPr>
        <w:t>5</w:t>
      </w:r>
      <w:r>
        <w:rPr>
          <w:rFonts w:eastAsia="仿宋"/>
          <w:sz w:val="24"/>
        </w:rPr>
        <w:t>，也属于领先地位，专利实力基本上反映了其在国内的产业地位。</w:t>
      </w:r>
    </w:p>
    <w:p w:rsidR="00000000" w:rsidRDefault="000A495B">
      <w:pPr>
        <w:pStyle w:val="afd"/>
        <w:rPr>
          <w:rFonts w:eastAsia="仿宋" w:cs="Times New Roman"/>
          <w:b/>
          <w:bCs/>
          <w:sz w:val="30"/>
          <w:szCs w:val="30"/>
        </w:rPr>
      </w:pPr>
      <w:r>
        <w:rPr>
          <w:noProof/>
        </w:rPr>
        <w:drawing>
          <wp:inline distT="0" distB="0" distL="0" distR="0">
            <wp:extent cx="3676650" cy="2381250"/>
            <wp:effectExtent l="0" t="0" r="0" b="0"/>
            <wp:docPr id="6"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2381250"/>
                    </a:xfrm>
                    <a:prstGeom prst="rect">
                      <a:avLst/>
                    </a:prstGeom>
                    <a:noFill/>
                    <a:ln>
                      <a:noFill/>
                    </a:ln>
                    <a:effectLst/>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3-1-6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国内省市排名</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3-1-7</w:t>
      </w:r>
      <w:r>
        <w:rPr>
          <w:rFonts w:eastAsia="仿宋"/>
          <w:sz w:val="24"/>
        </w:rPr>
        <w:t>示出了</w:t>
      </w:r>
      <w:r>
        <w:rPr>
          <w:rFonts w:eastAsia="仿宋"/>
          <w:sz w:val="24"/>
        </w:rPr>
        <w:t>OLED</w:t>
      </w:r>
      <w:r>
        <w:rPr>
          <w:rFonts w:eastAsia="仿宋"/>
          <w:sz w:val="24"/>
        </w:rPr>
        <w:t>发光材料领域国内主要原创申请省市申请量的历年变化趋势图。图中数据显示：从</w:t>
      </w:r>
      <w:r>
        <w:rPr>
          <w:rFonts w:eastAsia="仿宋"/>
          <w:sz w:val="24"/>
        </w:rPr>
        <w:t>1989</w:t>
      </w:r>
      <w:r>
        <w:rPr>
          <w:rFonts w:eastAsia="仿宋"/>
          <w:sz w:val="24"/>
        </w:rPr>
        <w:t>年至今，广东和北京基本位居国内原创年申请量的首位，可见广东和北京不仅在国内原创申请的数量上拔得头筹，且创新持续性强劲，并且整体看来广东和北京在</w:t>
      </w:r>
      <w:r>
        <w:rPr>
          <w:rFonts w:eastAsia="仿宋"/>
          <w:sz w:val="24"/>
        </w:rPr>
        <w:t>OLED</w:t>
      </w:r>
      <w:r>
        <w:rPr>
          <w:rFonts w:eastAsia="仿宋"/>
          <w:sz w:val="24"/>
        </w:rPr>
        <w:t>发光材料领域的研发活力更为旺盛、更具创新积极性，申请量高峰时间有交错。此外，从趋势数据来看，江苏和湖北近五年专利申请增量可观，展现出较为强烈的</w:t>
      </w:r>
      <w:r>
        <w:rPr>
          <w:rFonts w:eastAsia="仿宋"/>
          <w:sz w:val="24"/>
        </w:rPr>
        <w:t>OLED</w:t>
      </w:r>
      <w:r>
        <w:rPr>
          <w:rFonts w:eastAsia="仿宋"/>
          <w:sz w:val="24"/>
        </w:rPr>
        <w:t>发光材料领域布局意愿，吉林省的专利申请状态也较好。</w:t>
      </w:r>
    </w:p>
    <w:p w:rsidR="00000000" w:rsidRDefault="000A495B">
      <w:pPr>
        <w:pStyle w:val="afd"/>
        <w:rPr>
          <w:rFonts w:cs="Times New Roman"/>
        </w:rPr>
      </w:pPr>
      <w:r>
        <w:rPr>
          <w:noProof/>
        </w:rPr>
        <w:drawing>
          <wp:inline distT="0" distB="0" distL="0" distR="0">
            <wp:extent cx="5610225" cy="2428875"/>
            <wp:effectExtent l="0" t="0" r="0" b="0"/>
            <wp:docPr id="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42887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3-1-6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国内省市申请趋势</w:t>
      </w:r>
    </w:p>
    <w:p w:rsidR="00000000" w:rsidRDefault="00000000">
      <w:pPr>
        <w:widowControl/>
        <w:spacing w:line="440" w:lineRule="exact"/>
        <w:ind w:firstLineChars="200" w:firstLine="480"/>
        <w:jc w:val="left"/>
        <w:rPr>
          <w:rFonts w:eastAsia="仿宋"/>
          <w:sz w:val="24"/>
        </w:rPr>
      </w:pPr>
      <w:r>
        <w:rPr>
          <w:rFonts w:eastAsia="仿宋"/>
          <w:sz w:val="24"/>
        </w:rPr>
        <w:lastRenderedPageBreak/>
        <w:t>综上所述，从全球及国内的产业发展来看，</w:t>
      </w:r>
      <w:r>
        <w:rPr>
          <w:rFonts w:eastAsia="仿宋"/>
          <w:sz w:val="24"/>
        </w:rPr>
        <w:t>OLED</w:t>
      </w:r>
      <w:r>
        <w:rPr>
          <w:rFonts w:eastAsia="仿宋"/>
          <w:sz w:val="24"/>
        </w:rPr>
        <w:t>发光材料产业专利布局与产业发展密切关联，专利布局一方面支撑产业布局，另一方面也反映着产业布局及变迁的现状与趋势，两者如影随形地关联在一起。</w:t>
      </w:r>
    </w:p>
    <w:p w:rsidR="00000000" w:rsidRDefault="00000000">
      <w:pPr>
        <w:pStyle w:val="2"/>
        <w:spacing w:before="156" w:after="156"/>
        <w:jc w:val="both"/>
        <w:rPr>
          <w:rFonts w:eastAsia="宋体"/>
          <w:szCs w:val="28"/>
        </w:rPr>
      </w:pPr>
      <w:bookmarkStart w:id="294" w:name="_Toc17583"/>
      <w:bookmarkStart w:id="295" w:name="_Toc4567"/>
      <w:bookmarkStart w:id="296" w:name="_Toc19146"/>
      <w:bookmarkStart w:id="297" w:name="_Toc14076"/>
      <w:bookmarkStart w:id="298" w:name="_Toc133415917"/>
      <w:bookmarkStart w:id="299" w:name="_Toc29168"/>
      <w:bookmarkStart w:id="300" w:name="_Toc10040"/>
      <w:bookmarkStart w:id="301" w:name="_Toc14452"/>
      <w:r>
        <w:rPr>
          <w:rFonts w:eastAsia="宋体"/>
          <w:szCs w:val="28"/>
        </w:rPr>
        <w:t>3.2 OLED</w:t>
      </w:r>
      <w:r>
        <w:rPr>
          <w:rFonts w:eastAsia="宋体"/>
          <w:szCs w:val="28"/>
        </w:rPr>
        <w:t>发光材料产业竞争中的专利控制力</w:t>
      </w:r>
      <w:bookmarkEnd w:id="294"/>
      <w:bookmarkEnd w:id="295"/>
      <w:bookmarkEnd w:id="296"/>
      <w:bookmarkEnd w:id="297"/>
      <w:bookmarkEnd w:id="298"/>
      <w:bookmarkEnd w:id="299"/>
      <w:bookmarkEnd w:id="300"/>
      <w:bookmarkEnd w:id="301"/>
    </w:p>
    <w:p w:rsidR="00000000" w:rsidRDefault="00000000">
      <w:pPr>
        <w:widowControl/>
        <w:spacing w:line="440" w:lineRule="exact"/>
        <w:ind w:firstLineChars="200" w:firstLine="480"/>
        <w:jc w:val="left"/>
        <w:rPr>
          <w:rFonts w:eastAsia="仿宋"/>
          <w:sz w:val="24"/>
        </w:rPr>
      </w:pPr>
      <w:r>
        <w:rPr>
          <w:rFonts w:eastAsia="仿宋"/>
          <w:sz w:val="24"/>
        </w:rPr>
        <w:t>专利一头连接着技术创新，另一头连接着市场竞争，而专利的这种作用，是通过专利控制力得以实现的。所谓专利控制力，简单地说，就是通过专利实现对核心技术，继而对高端产品，最终对一定范围市场的控制力度，是一个有着强弱区分的程度概念。专利控制力分析，有助于了解专利在市场中的作用力，也有助于通过对具有专利控制力主体的分析了解产业和技术的发展趋势。</w:t>
      </w:r>
    </w:p>
    <w:p w:rsidR="00000000" w:rsidRDefault="00000000">
      <w:pPr>
        <w:pStyle w:val="3"/>
        <w:spacing w:beforeLines="50" w:before="156" w:afterLines="50" w:after="156" w:line="440" w:lineRule="exact"/>
        <w:rPr>
          <w:rFonts w:eastAsia="楷体"/>
          <w:sz w:val="28"/>
        </w:rPr>
      </w:pPr>
      <w:bookmarkStart w:id="302" w:name="_Toc28675"/>
      <w:bookmarkStart w:id="303" w:name="_Toc18949"/>
      <w:bookmarkStart w:id="304" w:name="_Toc9608"/>
      <w:bookmarkStart w:id="305" w:name="_Toc28241"/>
      <w:bookmarkStart w:id="306" w:name="_Toc133415918"/>
      <w:bookmarkStart w:id="307" w:name="_Toc25107"/>
      <w:bookmarkStart w:id="308" w:name="_Toc17110"/>
      <w:bookmarkStart w:id="309" w:name="_Toc9790"/>
      <w:r>
        <w:rPr>
          <w:rFonts w:eastAsia="楷体"/>
          <w:sz w:val="28"/>
        </w:rPr>
        <w:t xml:space="preserve">3.2.1 </w:t>
      </w:r>
      <w:r>
        <w:rPr>
          <w:rFonts w:eastAsia="楷体"/>
          <w:sz w:val="28"/>
        </w:rPr>
        <w:t>热点国家的专利技术控制力</w:t>
      </w:r>
      <w:bookmarkEnd w:id="302"/>
      <w:bookmarkEnd w:id="303"/>
      <w:bookmarkEnd w:id="304"/>
      <w:bookmarkEnd w:id="305"/>
      <w:bookmarkEnd w:id="306"/>
      <w:bookmarkEnd w:id="307"/>
      <w:bookmarkEnd w:id="308"/>
      <w:bookmarkEnd w:id="309"/>
    </w:p>
    <w:p w:rsidR="00000000" w:rsidRDefault="00000000">
      <w:pPr>
        <w:widowControl/>
        <w:spacing w:line="440" w:lineRule="exact"/>
        <w:ind w:firstLineChars="200" w:firstLine="480"/>
        <w:jc w:val="left"/>
        <w:rPr>
          <w:rFonts w:eastAsia="仿宋"/>
          <w:sz w:val="24"/>
        </w:rPr>
      </w:pPr>
      <w:bookmarkStart w:id="310" w:name="_Toc129035407"/>
      <w:r>
        <w:rPr>
          <w:rFonts w:eastAsia="仿宋"/>
          <w:sz w:val="24"/>
        </w:rPr>
        <w:t>图</w:t>
      </w:r>
      <w:r>
        <w:rPr>
          <w:rFonts w:eastAsia="仿宋"/>
          <w:sz w:val="24"/>
        </w:rPr>
        <w:t>3-2-1</w:t>
      </w:r>
      <w:r>
        <w:rPr>
          <w:rFonts w:eastAsia="仿宋"/>
          <w:sz w:val="24"/>
        </w:rPr>
        <w:t>给出了</w:t>
      </w:r>
      <w:r>
        <w:rPr>
          <w:rFonts w:eastAsia="仿宋"/>
          <w:sz w:val="24"/>
        </w:rPr>
        <w:t>OLED</w:t>
      </w:r>
      <w:r>
        <w:rPr>
          <w:rFonts w:eastAsia="仿宋"/>
          <w:sz w:val="24"/>
        </w:rPr>
        <w:t>发光材料产业技术来源国各个国家的分布情况，从整体上来看，技术来源国专利数量最多的为中国，占据了</w:t>
      </w:r>
      <w:r>
        <w:rPr>
          <w:rFonts w:eastAsia="仿宋"/>
          <w:sz w:val="24"/>
        </w:rPr>
        <w:t>35.11%</w:t>
      </w:r>
      <w:r>
        <w:rPr>
          <w:rFonts w:eastAsia="仿宋"/>
          <w:sz w:val="24"/>
        </w:rPr>
        <w:t>的份额，各个技术分支中，技术来源国排名靠前的基本是中国、韩国、美国、日本，这与全球布局各个申请量排名情况也比较一致。</w:t>
      </w:r>
    </w:p>
    <w:p w:rsidR="00000000" w:rsidRDefault="000A495B">
      <w:pPr>
        <w:jc w:val="center"/>
      </w:pPr>
      <w:r>
        <w:rPr>
          <w:noProof/>
        </w:rPr>
        <w:drawing>
          <wp:inline distT="0" distB="0" distL="0" distR="0">
            <wp:extent cx="4733925" cy="2962275"/>
            <wp:effectExtent l="0" t="0" r="0" b="0"/>
            <wp:docPr id="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925" cy="2962275"/>
                    </a:xfrm>
                    <a:prstGeom prst="rect">
                      <a:avLst/>
                    </a:prstGeom>
                    <a:noFill/>
                    <a:ln>
                      <a:noFill/>
                    </a:ln>
                    <a:effectLst/>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3-2-1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技术来源国分布</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3-2-2</w:t>
      </w:r>
      <w:r>
        <w:rPr>
          <w:rFonts w:eastAsia="仿宋"/>
          <w:sz w:val="24"/>
        </w:rPr>
        <w:t>给出了</w:t>
      </w:r>
      <w:r>
        <w:rPr>
          <w:rFonts w:eastAsia="仿宋"/>
          <w:sz w:val="24"/>
        </w:rPr>
        <w:t>OLED</w:t>
      </w:r>
      <w:r>
        <w:rPr>
          <w:rFonts w:eastAsia="仿宋"/>
          <w:sz w:val="24"/>
        </w:rPr>
        <w:t>发光材料产业各技术方向的技术来源国家</w:t>
      </w:r>
      <w:r>
        <w:rPr>
          <w:rFonts w:eastAsia="仿宋"/>
          <w:sz w:val="24"/>
        </w:rPr>
        <w:t>/</w:t>
      </w:r>
      <w:r>
        <w:rPr>
          <w:rFonts w:eastAsia="仿宋"/>
          <w:sz w:val="24"/>
        </w:rPr>
        <w:t>地区趋势分析，从整体趋势上来看，除中国外，各个国家在各个技术分支的专利分布上基本呈现随年份缓</w:t>
      </w:r>
      <w:r>
        <w:rPr>
          <w:rFonts w:eastAsia="仿宋"/>
          <w:sz w:val="24"/>
        </w:rPr>
        <w:lastRenderedPageBreak/>
        <w:t>慢增长的趋势，中国呈现快速增长的趋势，中国在</w:t>
      </w:r>
      <w:r>
        <w:rPr>
          <w:rFonts w:eastAsia="仿宋"/>
          <w:sz w:val="24"/>
        </w:rPr>
        <w:t>OLED</w:t>
      </w:r>
      <w:r>
        <w:rPr>
          <w:rFonts w:eastAsia="仿宋"/>
          <w:sz w:val="24"/>
        </w:rPr>
        <w:t>发光材料各个技术分支的发展上，近几年的发展较快，尤其是发光层这一分支上，申请量较多。</w:t>
      </w:r>
    </w:p>
    <w:p w:rsidR="00000000" w:rsidRDefault="00000000">
      <w:pPr>
        <w:jc w:val="center"/>
      </w:pPr>
    </w:p>
    <w:p w:rsidR="00000000" w:rsidRDefault="000A495B">
      <w:pPr>
        <w:jc w:val="center"/>
      </w:pPr>
      <w:r>
        <w:rPr>
          <w:noProof/>
        </w:rPr>
        <w:drawing>
          <wp:inline distT="0" distB="0" distL="0" distR="0">
            <wp:extent cx="5610225" cy="2962275"/>
            <wp:effectExtent l="0" t="0" r="0" b="0"/>
            <wp:docPr id="9"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96227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3-2-2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各技术分支技术来源国趋势</w:t>
      </w:r>
    </w:p>
    <w:p w:rsidR="00000000" w:rsidRDefault="00000000">
      <w:pPr>
        <w:widowControl/>
        <w:spacing w:line="440" w:lineRule="exact"/>
        <w:ind w:firstLineChars="200" w:firstLine="480"/>
        <w:jc w:val="left"/>
        <w:rPr>
          <w:rFonts w:eastAsia="仿宋"/>
          <w:sz w:val="24"/>
        </w:rPr>
      </w:pPr>
      <w:bookmarkStart w:id="311" w:name="_Toc133415919"/>
      <w:r>
        <w:rPr>
          <w:rFonts w:eastAsia="仿宋"/>
          <w:sz w:val="24"/>
        </w:rPr>
        <w:t>图</w:t>
      </w:r>
      <w:r>
        <w:rPr>
          <w:rFonts w:eastAsia="仿宋"/>
          <w:sz w:val="24"/>
        </w:rPr>
        <w:t>3-2-3</w:t>
      </w:r>
      <w:r>
        <w:rPr>
          <w:rFonts w:eastAsia="仿宋"/>
          <w:sz w:val="24"/>
        </w:rPr>
        <w:t>给出了</w:t>
      </w:r>
      <w:r>
        <w:rPr>
          <w:rFonts w:eastAsia="仿宋"/>
          <w:sz w:val="24"/>
        </w:rPr>
        <w:t>OLED</w:t>
      </w:r>
      <w:r>
        <w:rPr>
          <w:rFonts w:eastAsia="仿宋"/>
          <w:sz w:val="24"/>
        </w:rPr>
        <w:t>发光材料产业目标市场国各个国家的分布情况，从整体上来看，目标市场国分布最多的为中国，各个技术分支中，目标市场国靠前的几个国家为中国、美国、韩国和日本；可以看出在这几个国家中，</w:t>
      </w:r>
      <w:r>
        <w:rPr>
          <w:rFonts w:eastAsia="仿宋"/>
          <w:sz w:val="24"/>
        </w:rPr>
        <w:t>OLED</w:t>
      </w:r>
      <w:r>
        <w:rPr>
          <w:rFonts w:eastAsia="仿宋"/>
          <w:sz w:val="24"/>
        </w:rPr>
        <w:t>发光材料产业的应用较广，需求量也较大。</w:t>
      </w:r>
    </w:p>
    <w:p w:rsidR="00000000" w:rsidRDefault="000A495B">
      <w:pPr>
        <w:jc w:val="center"/>
      </w:pPr>
      <w:r>
        <w:rPr>
          <w:noProof/>
        </w:rPr>
        <w:drawing>
          <wp:inline distT="0" distB="0" distL="0" distR="0">
            <wp:extent cx="5286375" cy="2905125"/>
            <wp:effectExtent l="0" t="0" r="0" b="0"/>
            <wp:docPr id="1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2905125"/>
                    </a:xfrm>
                    <a:prstGeom prst="rect">
                      <a:avLst/>
                    </a:prstGeom>
                    <a:noFill/>
                    <a:ln>
                      <a:noFill/>
                    </a:ln>
                    <a:effectLst/>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3-2-3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目标市场国分布</w:t>
      </w:r>
    </w:p>
    <w:p w:rsidR="00000000" w:rsidRDefault="00000000">
      <w:pPr>
        <w:pStyle w:val="3"/>
        <w:spacing w:beforeLines="50" w:before="156" w:afterLines="50" w:after="156" w:line="440" w:lineRule="exact"/>
        <w:rPr>
          <w:rFonts w:eastAsia="楷体"/>
          <w:sz w:val="28"/>
        </w:rPr>
      </w:pPr>
      <w:bookmarkStart w:id="312" w:name="_Toc30183"/>
      <w:bookmarkStart w:id="313" w:name="_Toc5417"/>
      <w:bookmarkStart w:id="314" w:name="_Toc8144"/>
      <w:bookmarkStart w:id="315" w:name="_Toc4412"/>
      <w:bookmarkStart w:id="316" w:name="_Toc15045"/>
      <w:bookmarkStart w:id="317" w:name="_Toc17513"/>
      <w:bookmarkStart w:id="318" w:name="_Toc9061"/>
      <w:r>
        <w:rPr>
          <w:rFonts w:eastAsia="楷体"/>
          <w:sz w:val="28"/>
        </w:rPr>
        <w:lastRenderedPageBreak/>
        <w:t xml:space="preserve">3.2.2 </w:t>
      </w:r>
      <w:r>
        <w:rPr>
          <w:rFonts w:eastAsia="楷体"/>
          <w:sz w:val="28"/>
        </w:rPr>
        <w:t>龙头企业的产品控制力</w:t>
      </w:r>
      <w:bookmarkEnd w:id="311"/>
      <w:bookmarkEnd w:id="312"/>
      <w:bookmarkEnd w:id="313"/>
      <w:bookmarkEnd w:id="314"/>
      <w:bookmarkEnd w:id="315"/>
      <w:bookmarkEnd w:id="316"/>
      <w:bookmarkEnd w:id="317"/>
      <w:bookmarkEnd w:id="318"/>
    </w:p>
    <w:p w:rsidR="00000000" w:rsidRDefault="00000000">
      <w:pPr>
        <w:widowControl/>
        <w:spacing w:line="440" w:lineRule="exact"/>
        <w:ind w:firstLineChars="200" w:firstLine="480"/>
        <w:jc w:val="left"/>
        <w:rPr>
          <w:rFonts w:eastAsia="仿宋"/>
          <w:sz w:val="24"/>
        </w:rPr>
      </w:pPr>
      <w:r>
        <w:rPr>
          <w:rFonts w:eastAsia="仿宋"/>
          <w:sz w:val="24"/>
        </w:rPr>
        <w:t>发达国家的产业竞争力主要通过跨国巨头的竞争力来体现，对技术控制也是如此。图</w:t>
      </w:r>
      <w:r>
        <w:rPr>
          <w:rFonts w:eastAsia="仿宋"/>
          <w:sz w:val="24"/>
        </w:rPr>
        <w:t>3-2-6</w:t>
      </w:r>
      <w:r>
        <w:rPr>
          <w:rFonts w:eastAsia="仿宋"/>
          <w:sz w:val="24"/>
        </w:rPr>
        <w:t>给出了</w:t>
      </w:r>
      <w:r>
        <w:rPr>
          <w:rFonts w:eastAsia="仿宋"/>
          <w:sz w:val="24"/>
        </w:rPr>
        <w:t>OLED</w:t>
      </w:r>
      <w:r>
        <w:rPr>
          <w:rFonts w:eastAsia="仿宋"/>
          <w:sz w:val="24"/>
        </w:rPr>
        <w:t>发光材料产业主要龙头企业在各个分支上的专利分布，从具体的技术分支上来看，发光层领域是热门分支，在该分支中，三星显示申请了</w:t>
      </w:r>
      <w:r>
        <w:rPr>
          <w:rFonts w:eastAsia="仿宋"/>
          <w:sz w:val="24"/>
        </w:rPr>
        <w:t>5025</w:t>
      </w:r>
      <w:r>
        <w:rPr>
          <w:rFonts w:eastAsia="仿宋"/>
          <w:sz w:val="24"/>
        </w:rPr>
        <w:t>件专利，华星光电集团申请了</w:t>
      </w:r>
      <w:r>
        <w:rPr>
          <w:rFonts w:eastAsia="仿宋"/>
          <w:sz w:val="24"/>
        </w:rPr>
        <w:t>4178</w:t>
      </w:r>
      <w:r>
        <w:rPr>
          <w:rFonts w:eastAsia="仿宋"/>
          <w:sz w:val="24"/>
        </w:rPr>
        <w:t>件专利，</w:t>
      </w:r>
      <w:r>
        <w:rPr>
          <w:rFonts w:eastAsia="仿宋"/>
          <w:sz w:val="24"/>
        </w:rPr>
        <w:t>LG</w:t>
      </w:r>
      <w:r>
        <w:rPr>
          <w:rFonts w:eastAsia="仿宋"/>
          <w:sz w:val="24"/>
        </w:rPr>
        <w:t>显示器股份有限公司申请了</w:t>
      </w:r>
      <w:r>
        <w:rPr>
          <w:rFonts w:eastAsia="仿宋"/>
          <w:sz w:val="24"/>
        </w:rPr>
        <w:t>3622</w:t>
      </w:r>
      <w:r>
        <w:rPr>
          <w:rFonts w:eastAsia="仿宋"/>
          <w:sz w:val="24"/>
        </w:rPr>
        <w:t>件专利；其他相对申请量较多的技术分支为电子功能层和空穴功能层，电子功能层技术分支，三星显示申请了</w:t>
      </w:r>
      <w:r>
        <w:rPr>
          <w:rFonts w:eastAsia="仿宋"/>
          <w:sz w:val="24"/>
        </w:rPr>
        <w:t>579</w:t>
      </w:r>
      <w:r>
        <w:rPr>
          <w:rFonts w:eastAsia="仿宋"/>
          <w:sz w:val="24"/>
        </w:rPr>
        <w:t>件专利，华星光电集团申请了</w:t>
      </w:r>
      <w:r>
        <w:rPr>
          <w:rFonts w:eastAsia="仿宋"/>
          <w:sz w:val="24"/>
        </w:rPr>
        <w:t>638</w:t>
      </w:r>
      <w:r>
        <w:rPr>
          <w:rFonts w:eastAsia="仿宋"/>
          <w:sz w:val="24"/>
        </w:rPr>
        <w:t>件专利，</w:t>
      </w:r>
      <w:r>
        <w:rPr>
          <w:rFonts w:eastAsia="仿宋"/>
          <w:sz w:val="24"/>
        </w:rPr>
        <w:t>LG</w:t>
      </w:r>
      <w:r>
        <w:rPr>
          <w:rFonts w:eastAsia="仿宋"/>
          <w:sz w:val="24"/>
        </w:rPr>
        <w:t>显示器股份有限公司申请了</w:t>
      </w:r>
      <w:r>
        <w:rPr>
          <w:rFonts w:eastAsia="仿宋"/>
          <w:sz w:val="24"/>
        </w:rPr>
        <w:t>525</w:t>
      </w:r>
      <w:r>
        <w:rPr>
          <w:rFonts w:eastAsia="仿宋"/>
          <w:sz w:val="24"/>
        </w:rPr>
        <w:t>件专利；空穴功能层技术分支，三星显示申请了</w:t>
      </w:r>
      <w:r>
        <w:rPr>
          <w:rFonts w:eastAsia="仿宋"/>
          <w:sz w:val="24"/>
        </w:rPr>
        <w:t>600</w:t>
      </w:r>
      <w:r>
        <w:rPr>
          <w:rFonts w:eastAsia="仿宋"/>
          <w:sz w:val="24"/>
        </w:rPr>
        <w:t>件专利，华星光电集团申请了</w:t>
      </w:r>
      <w:r>
        <w:rPr>
          <w:rFonts w:eastAsia="仿宋"/>
          <w:sz w:val="24"/>
        </w:rPr>
        <w:t>639</w:t>
      </w:r>
      <w:r>
        <w:rPr>
          <w:rFonts w:eastAsia="仿宋"/>
          <w:sz w:val="24"/>
        </w:rPr>
        <w:t>件专利，</w:t>
      </w:r>
      <w:r>
        <w:rPr>
          <w:rFonts w:eastAsia="仿宋"/>
          <w:sz w:val="24"/>
        </w:rPr>
        <w:t>LG</w:t>
      </w:r>
      <w:r>
        <w:rPr>
          <w:rFonts w:eastAsia="仿宋"/>
          <w:sz w:val="24"/>
        </w:rPr>
        <w:t>显示器股份有限公司申请了</w:t>
      </w:r>
      <w:r>
        <w:rPr>
          <w:rFonts w:eastAsia="仿宋"/>
          <w:sz w:val="24"/>
        </w:rPr>
        <w:t>553</w:t>
      </w:r>
      <w:r>
        <w:rPr>
          <w:rFonts w:eastAsia="仿宋"/>
          <w:sz w:val="24"/>
        </w:rPr>
        <w:t>件专利。从整体趋势可以看出，在</w:t>
      </w:r>
      <w:r>
        <w:rPr>
          <w:rFonts w:eastAsia="仿宋"/>
          <w:sz w:val="24"/>
        </w:rPr>
        <w:t>OLED</w:t>
      </w:r>
      <w:r>
        <w:rPr>
          <w:rFonts w:eastAsia="仿宋"/>
          <w:sz w:val="24"/>
        </w:rPr>
        <w:t>发光材料产业领域，中国的整体申请量最多，但在排名前十的申请人中，大多数都是国外企业，可以看出，中国申请量较多，但技术集中度较差</w:t>
      </w:r>
      <w:bookmarkEnd w:id="310"/>
      <w:r>
        <w:rPr>
          <w:rFonts w:eastAsia="仿宋"/>
          <w:sz w:val="24"/>
        </w:rPr>
        <w:t>。</w:t>
      </w:r>
    </w:p>
    <w:p w:rsidR="00000000" w:rsidRDefault="000A495B">
      <w:pPr>
        <w:spacing w:line="240" w:lineRule="auto"/>
        <w:rPr>
          <w:rFonts w:eastAsia="仿宋"/>
          <w:sz w:val="28"/>
          <w:szCs w:val="28"/>
        </w:rPr>
      </w:pPr>
      <w:r>
        <w:rPr>
          <w:noProof/>
        </w:rPr>
        <w:drawing>
          <wp:inline distT="0" distB="0" distL="0" distR="0">
            <wp:extent cx="5610225" cy="2419350"/>
            <wp:effectExtent l="0" t="0" r="0" b="0"/>
            <wp:docPr id="1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41935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3-2-6</w:t>
      </w:r>
      <w:r>
        <w:rPr>
          <w:rFonts w:eastAsia="仿宋" w:cs="Times New Roman" w:hint="eastAsia"/>
          <w:sz w:val="24"/>
          <w:szCs w:val="24"/>
        </w:rPr>
        <w:t xml:space="preserve">  OLED</w:t>
      </w:r>
      <w:r>
        <w:rPr>
          <w:rFonts w:eastAsia="仿宋" w:cs="Times New Roman" w:hint="eastAsia"/>
          <w:sz w:val="24"/>
          <w:szCs w:val="24"/>
        </w:rPr>
        <w:t>发光材料产业</w:t>
      </w:r>
      <w:r>
        <w:rPr>
          <w:rFonts w:eastAsia="仿宋" w:cs="Times New Roman"/>
          <w:sz w:val="24"/>
          <w:szCs w:val="24"/>
        </w:rPr>
        <w:t>主要龙头企业在各技术分支上的专利分布</w:t>
      </w:r>
    </w:p>
    <w:p w:rsidR="00000000" w:rsidRDefault="00000000">
      <w:pPr>
        <w:pStyle w:val="3"/>
        <w:spacing w:beforeLines="50" w:before="156" w:afterLines="50" w:after="156" w:line="440" w:lineRule="exact"/>
        <w:rPr>
          <w:rFonts w:eastAsia="楷体"/>
          <w:sz w:val="28"/>
        </w:rPr>
      </w:pPr>
      <w:bookmarkStart w:id="319" w:name="_Toc17456"/>
      <w:bookmarkStart w:id="320" w:name="_Toc22442"/>
      <w:bookmarkStart w:id="321" w:name="_Toc3253"/>
      <w:bookmarkStart w:id="322" w:name="_Toc3776"/>
      <w:bookmarkStart w:id="323" w:name="_Toc3358"/>
      <w:bookmarkStart w:id="324" w:name="_Toc25489"/>
      <w:bookmarkStart w:id="325" w:name="_Toc133415920"/>
      <w:bookmarkStart w:id="326" w:name="_Toc188"/>
      <w:r>
        <w:rPr>
          <w:rFonts w:eastAsia="楷体"/>
          <w:sz w:val="28"/>
        </w:rPr>
        <w:t>3.2.3</w:t>
      </w:r>
      <w:r>
        <w:rPr>
          <w:rFonts w:eastAsia="楷体"/>
          <w:sz w:val="28"/>
        </w:rPr>
        <w:t>中国专利申请人情况与国内产业龙头企业</w:t>
      </w:r>
      <w:bookmarkEnd w:id="319"/>
      <w:bookmarkEnd w:id="320"/>
      <w:bookmarkEnd w:id="321"/>
      <w:bookmarkEnd w:id="322"/>
      <w:bookmarkEnd w:id="323"/>
      <w:bookmarkEnd w:id="324"/>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3-2-7</w:t>
      </w:r>
      <w:r>
        <w:rPr>
          <w:rFonts w:eastAsia="仿宋"/>
          <w:sz w:val="24"/>
        </w:rPr>
        <w:t>示出了</w:t>
      </w:r>
      <w:r>
        <w:rPr>
          <w:rFonts w:eastAsia="仿宋"/>
          <w:sz w:val="24"/>
        </w:rPr>
        <w:t>OLED</w:t>
      </w:r>
      <w:r>
        <w:rPr>
          <w:rFonts w:eastAsia="仿宋"/>
          <w:sz w:val="24"/>
        </w:rPr>
        <w:t>发光材料领域中国专利申请排名前列的重要申请人情况，其中包括中国重要申请人的申请量排名。</w:t>
      </w:r>
    </w:p>
    <w:p w:rsidR="00000000" w:rsidRDefault="00000000">
      <w:pPr>
        <w:widowControl/>
        <w:spacing w:line="440" w:lineRule="exact"/>
        <w:ind w:firstLineChars="200" w:firstLine="480"/>
        <w:jc w:val="left"/>
        <w:rPr>
          <w:rFonts w:eastAsia="仿宋"/>
          <w:sz w:val="24"/>
        </w:rPr>
      </w:pPr>
      <w:r>
        <w:rPr>
          <w:rFonts w:eastAsia="仿宋"/>
          <w:sz w:val="24"/>
        </w:rPr>
        <w:t>由图中可以看出：中国申请重要申请人中，前十位不仅是国内申请人，可见国外申请人在中国的专利布局较多，前十位申请人中的国内申请人对我国</w:t>
      </w:r>
      <w:r>
        <w:rPr>
          <w:rFonts w:eastAsia="仿宋"/>
          <w:sz w:val="24"/>
        </w:rPr>
        <w:t>OLED</w:t>
      </w:r>
      <w:r>
        <w:rPr>
          <w:rFonts w:eastAsia="仿宋"/>
          <w:sz w:val="24"/>
        </w:rPr>
        <w:t>发光材料领域市场高度重视并具有强烈的研发热情，以期在本国市场竞争中掌握主动权并抢占本国市场。</w:t>
      </w:r>
    </w:p>
    <w:p w:rsidR="00000000" w:rsidRDefault="00000000">
      <w:pPr>
        <w:widowControl/>
        <w:spacing w:line="440" w:lineRule="exact"/>
        <w:ind w:firstLineChars="200" w:firstLine="480"/>
        <w:jc w:val="left"/>
        <w:rPr>
          <w:rFonts w:eastAsia="仿宋"/>
          <w:sz w:val="24"/>
        </w:rPr>
      </w:pPr>
      <w:r>
        <w:rPr>
          <w:rFonts w:eastAsia="仿宋"/>
          <w:sz w:val="24"/>
        </w:rPr>
        <w:t>中国</w:t>
      </w:r>
      <w:r>
        <w:rPr>
          <w:rFonts w:eastAsia="仿宋"/>
          <w:sz w:val="24"/>
        </w:rPr>
        <w:t>OLED</w:t>
      </w:r>
      <w:r>
        <w:rPr>
          <w:rFonts w:eastAsia="仿宋"/>
          <w:sz w:val="24"/>
        </w:rPr>
        <w:t>发光材料企业尤其是具有一定规模的</w:t>
      </w:r>
      <w:r>
        <w:rPr>
          <w:rFonts w:eastAsia="仿宋"/>
          <w:sz w:val="24"/>
        </w:rPr>
        <w:t>OLED</w:t>
      </w:r>
      <w:r>
        <w:rPr>
          <w:rFonts w:eastAsia="仿宋"/>
          <w:sz w:val="24"/>
        </w:rPr>
        <w:t>发光材料企业必须明确自身在创新方面的定位，在国家鼓励创新的良好政策环境下，转变思路，逐步从模仿创新</w:t>
      </w:r>
      <w:r>
        <w:rPr>
          <w:rFonts w:eastAsia="仿宋"/>
          <w:sz w:val="24"/>
        </w:rPr>
        <w:lastRenderedPageBreak/>
        <w:t>为主向仿创结合转变，以成功转移转化为目标，最终转型为以自主创新为主，努力成为参与全球竞争的世界级</w:t>
      </w:r>
      <w:r>
        <w:rPr>
          <w:rFonts w:eastAsia="仿宋"/>
          <w:sz w:val="24"/>
        </w:rPr>
        <w:t>OLED</w:t>
      </w:r>
      <w:r>
        <w:rPr>
          <w:rFonts w:eastAsia="仿宋"/>
          <w:sz w:val="24"/>
        </w:rPr>
        <w:t>发光材料企业。而高等学校、科研院所科技成果与企业特别是中小企业技术创新需求的有效对接。以国内科研院校的前沿研究为基础，及时有效地将基础研究转化为企业的专利技术，再依托于企业为主体进行商业推广和出海运营应当能够形成可持续的良性循环。</w:t>
      </w:r>
    </w:p>
    <w:p w:rsidR="00000000" w:rsidRDefault="000A495B">
      <w:pPr>
        <w:jc w:val="center"/>
      </w:pPr>
      <w:r>
        <w:rPr>
          <w:noProof/>
        </w:rPr>
        <w:drawing>
          <wp:inline distT="0" distB="0" distL="0" distR="0">
            <wp:extent cx="5619750" cy="2343150"/>
            <wp:effectExtent l="0" t="0" r="0" b="0"/>
            <wp:docPr id="1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34315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3-2-7</w:t>
      </w:r>
      <w:r>
        <w:rPr>
          <w:rFonts w:eastAsia="仿宋" w:cs="Times New Roman" w:hint="eastAsia"/>
          <w:sz w:val="24"/>
          <w:szCs w:val="24"/>
        </w:rPr>
        <w:t xml:space="preserve">  OLED</w:t>
      </w:r>
      <w:r>
        <w:rPr>
          <w:rFonts w:eastAsia="仿宋" w:cs="Times New Roman" w:hint="eastAsia"/>
          <w:sz w:val="24"/>
          <w:szCs w:val="24"/>
        </w:rPr>
        <w:t>发光材料产业</w:t>
      </w:r>
      <w:r>
        <w:rPr>
          <w:rFonts w:eastAsia="仿宋" w:cs="Times New Roman"/>
          <w:sz w:val="24"/>
          <w:szCs w:val="24"/>
        </w:rPr>
        <w:t>中国专利申请量排名前列的中国重要申请人情况</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3-2-8</w:t>
      </w:r>
      <w:r>
        <w:rPr>
          <w:rFonts w:eastAsia="仿宋"/>
          <w:sz w:val="24"/>
        </w:rPr>
        <w:t>详细列出了</w:t>
      </w:r>
      <w:r>
        <w:rPr>
          <w:rFonts w:eastAsia="仿宋"/>
          <w:sz w:val="24"/>
        </w:rPr>
        <w:t>OLED</w:t>
      </w:r>
      <w:r>
        <w:rPr>
          <w:rFonts w:eastAsia="仿宋"/>
          <w:sz w:val="24"/>
        </w:rPr>
        <w:t>发光材料领域中国重要申请人的布局热情分析。由图</w:t>
      </w:r>
      <w:r>
        <w:rPr>
          <w:rFonts w:eastAsia="仿宋"/>
          <w:sz w:val="24"/>
        </w:rPr>
        <w:t>3-2-8</w:t>
      </w:r>
      <w:r>
        <w:rPr>
          <w:rFonts w:eastAsia="仿宋"/>
          <w:sz w:val="24"/>
        </w:rPr>
        <w:t>分析可知：华星光电集团的中国申请量为</w:t>
      </w:r>
      <w:r>
        <w:rPr>
          <w:rFonts w:eastAsia="仿宋"/>
          <w:sz w:val="24"/>
        </w:rPr>
        <w:t>2348</w:t>
      </w:r>
      <w:r>
        <w:rPr>
          <w:rFonts w:eastAsia="仿宋"/>
          <w:sz w:val="24"/>
        </w:rPr>
        <w:t>件，三星显示的中国申请量为</w:t>
      </w:r>
      <w:r>
        <w:rPr>
          <w:rFonts w:eastAsia="仿宋"/>
          <w:sz w:val="24"/>
        </w:rPr>
        <w:t>841</w:t>
      </w:r>
      <w:r>
        <w:rPr>
          <w:rFonts w:eastAsia="仿宋"/>
          <w:sz w:val="24"/>
        </w:rPr>
        <w:t>件，分别名列一二，海洋王照明科技股份有限公司和深圳市海洋王照明技术有限公司分别以</w:t>
      </w:r>
      <w:r>
        <w:rPr>
          <w:rFonts w:eastAsia="仿宋"/>
          <w:sz w:val="24"/>
        </w:rPr>
        <w:t>641</w:t>
      </w:r>
      <w:r>
        <w:rPr>
          <w:rFonts w:eastAsia="仿宋"/>
          <w:sz w:val="24"/>
        </w:rPr>
        <w:t>件和</w:t>
      </w:r>
      <w:r>
        <w:rPr>
          <w:rFonts w:eastAsia="仿宋"/>
          <w:sz w:val="24"/>
        </w:rPr>
        <w:t>638</w:t>
      </w:r>
      <w:r>
        <w:rPr>
          <w:rFonts w:eastAsia="仿宋"/>
          <w:sz w:val="24"/>
        </w:rPr>
        <w:t>件的中国申请量随之其后，可见在中国</w:t>
      </w:r>
      <w:r>
        <w:rPr>
          <w:rFonts w:eastAsia="仿宋"/>
          <w:sz w:val="24"/>
        </w:rPr>
        <w:t>OLED</w:t>
      </w:r>
      <w:r>
        <w:rPr>
          <w:rFonts w:eastAsia="仿宋"/>
          <w:sz w:val="24"/>
        </w:rPr>
        <w:t>发光材料领域，主要是以企业为中坚力量。此外，京东方集团五年集中度达</w:t>
      </w:r>
      <w:r>
        <w:rPr>
          <w:rFonts w:eastAsia="仿宋"/>
          <w:sz w:val="24"/>
        </w:rPr>
        <w:t>0.365</w:t>
      </w:r>
      <w:r>
        <w:rPr>
          <w:rFonts w:eastAsia="仿宋"/>
          <w:sz w:val="24"/>
        </w:rPr>
        <w:t>，可见上述申请人创新和研发能力的持续性和潜力不可小觑，值得给予持续关注。</w:t>
      </w:r>
    </w:p>
    <w:p w:rsidR="00000000" w:rsidRDefault="000A495B">
      <w:pPr>
        <w:jc w:val="center"/>
      </w:pPr>
      <w:r>
        <w:rPr>
          <w:noProof/>
        </w:rPr>
        <w:drawing>
          <wp:inline distT="0" distB="0" distL="0" distR="0">
            <wp:extent cx="5619750" cy="2381250"/>
            <wp:effectExtent l="0" t="0" r="0" b="0"/>
            <wp:docPr id="1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238125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3-2-8</w:t>
      </w:r>
      <w:r>
        <w:rPr>
          <w:rFonts w:eastAsia="仿宋" w:cs="Times New Roman" w:hint="eastAsia"/>
          <w:sz w:val="24"/>
          <w:szCs w:val="24"/>
        </w:rPr>
        <w:t xml:space="preserve">  OLED</w:t>
      </w:r>
      <w:r>
        <w:rPr>
          <w:rFonts w:eastAsia="仿宋" w:cs="Times New Roman" w:hint="eastAsia"/>
          <w:sz w:val="24"/>
          <w:szCs w:val="24"/>
        </w:rPr>
        <w:t>发光材料领域</w:t>
      </w:r>
      <w:r>
        <w:rPr>
          <w:rFonts w:eastAsia="仿宋" w:cs="Times New Roman"/>
          <w:sz w:val="24"/>
          <w:szCs w:val="24"/>
        </w:rPr>
        <w:t>中国重要申请人布局热情分析</w:t>
      </w:r>
    </w:p>
    <w:p w:rsidR="00000000" w:rsidRDefault="00000000">
      <w:pPr>
        <w:pStyle w:val="3"/>
        <w:spacing w:beforeLines="50" w:before="156" w:afterLines="50" w:after="156" w:line="440" w:lineRule="exact"/>
        <w:rPr>
          <w:rFonts w:eastAsia="楷体"/>
          <w:sz w:val="28"/>
        </w:rPr>
      </w:pPr>
      <w:bookmarkStart w:id="327" w:name="_Toc7313"/>
      <w:bookmarkStart w:id="328" w:name="_Toc133415921"/>
      <w:bookmarkStart w:id="329" w:name="_Toc15695"/>
      <w:bookmarkStart w:id="330" w:name="_Toc24058"/>
      <w:bookmarkStart w:id="331" w:name="_Toc11440"/>
      <w:bookmarkStart w:id="332" w:name="_Toc2056"/>
      <w:bookmarkStart w:id="333" w:name="_Toc10779"/>
      <w:bookmarkStart w:id="334" w:name="_Toc9918"/>
      <w:bookmarkEnd w:id="325"/>
      <w:bookmarkEnd w:id="326"/>
      <w:r>
        <w:rPr>
          <w:rFonts w:eastAsia="楷体"/>
          <w:sz w:val="28"/>
        </w:rPr>
        <w:lastRenderedPageBreak/>
        <w:t xml:space="preserve">3.2.4 </w:t>
      </w:r>
      <w:bookmarkEnd w:id="327"/>
      <w:bookmarkEnd w:id="328"/>
      <w:r>
        <w:rPr>
          <w:rFonts w:eastAsia="楷体"/>
          <w:sz w:val="28"/>
        </w:rPr>
        <w:t>中国专利申请分类号技术分布</w:t>
      </w:r>
      <w:bookmarkEnd w:id="329"/>
      <w:bookmarkEnd w:id="330"/>
      <w:bookmarkEnd w:id="331"/>
      <w:bookmarkEnd w:id="332"/>
      <w:bookmarkEnd w:id="333"/>
      <w:bookmarkEnd w:id="334"/>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3-2-9</w:t>
      </w:r>
      <w:r>
        <w:rPr>
          <w:rFonts w:eastAsia="仿宋"/>
          <w:sz w:val="24"/>
        </w:rPr>
        <w:t>示出了</w:t>
      </w:r>
      <w:r>
        <w:rPr>
          <w:rFonts w:eastAsia="仿宋"/>
          <w:sz w:val="24"/>
        </w:rPr>
        <w:t>OLED</w:t>
      </w:r>
      <w:r>
        <w:rPr>
          <w:rFonts w:eastAsia="仿宋"/>
          <w:sz w:val="24"/>
        </w:rPr>
        <w:t>发光材料领域中国专利申请的分类号技术构成，其分类号构成与全球申请分类号技术构成大体相似，其主要表征了相关专利申请的技术点。</w:t>
      </w:r>
    </w:p>
    <w:p w:rsidR="00000000" w:rsidRDefault="000A495B">
      <w:pPr>
        <w:spacing w:line="240" w:lineRule="auto"/>
        <w:jc w:val="center"/>
        <w:rPr>
          <w:rFonts w:eastAsia="仿宋"/>
          <w:sz w:val="28"/>
          <w:szCs w:val="28"/>
        </w:rPr>
      </w:pPr>
      <w:r>
        <w:rPr>
          <w:noProof/>
        </w:rPr>
        <w:drawing>
          <wp:inline distT="0" distB="0" distL="0" distR="0">
            <wp:extent cx="5619750" cy="2600325"/>
            <wp:effectExtent l="0" t="0" r="0" b="0"/>
            <wp:docPr id="1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260032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3-2-9</w:t>
      </w:r>
      <w:r>
        <w:rPr>
          <w:rFonts w:eastAsia="仿宋" w:cs="Times New Roman" w:hint="eastAsia"/>
          <w:sz w:val="24"/>
          <w:szCs w:val="24"/>
        </w:rPr>
        <w:t xml:space="preserve">  OLED</w:t>
      </w:r>
      <w:r>
        <w:rPr>
          <w:rFonts w:eastAsia="仿宋" w:cs="Times New Roman" w:hint="eastAsia"/>
          <w:sz w:val="24"/>
          <w:szCs w:val="24"/>
        </w:rPr>
        <w:t>发光材料产业</w:t>
      </w:r>
      <w:r>
        <w:rPr>
          <w:rFonts w:eastAsia="仿宋" w:cs="Times New Roman"/>
          <w:sz w:val="24"/>
          <w:szCs w:val="24"/>
        </w:rPr>
        <w:t>中国专利申请分类号技术构成</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3-2-10</w:t>
      </w:r>
      <w:r>
        <w:rPr>
          <w:rFonts w:eastAsia="仿宋"/>
          <w:sz w:val="24"/>
        </w:rPr>
        <w:t>示出了</w:t>
      </w:r>
      <w:r>
        <w:rPr>
          <w:rFonts w:eastAsia="仿宋"/>
          <w:sz w:val="24"/>
        </w:rPr>
        <w:t>OLED</w:t>
      </w:r>
      <w:r>
        <w:rPr>
          <w:rFonts w:eastAsia="仿宋"/>
          <w:sz w:val="24"/>
        </w:rPr>
        <w:t>发光材料领域各技术分支在</w:t>
      </w:r>
      <w:r>
        <w:rPr>
          <w:rFonts w:eastAsia="仿宋"/>
          <w:sz w:val="24"/>
        </w:rPr>
        <w:t>IPC</w:t>
      </w:r>
      <w:r>
        <w:rPr>
          <w:rFonts w:eastAsia="仿宋"/>
          <w:sz w:val="24"/>
        </w:rPr>
        <w:t>分类号的分布，发光层领域主要集中在</w:t>
      </w:r>
      <w:r>
        <w:rPr>
          <w:rFonts w:eastAsia="仿宋"/>
          <w:sz w:val="24"/>
        </w:rPr>
        <w:t>H01L</w:t>
      </w:r>
      <w:r>
        <w:rPr>
          <w:rFonts w:eastAsia="仿宋"/>
          <w:sz w:val="24"/>
        </w:rPr>
        <w:t>、</w:t>
      </w:r>
      <w:r>
        <w:rPr>
          <w:rFonts w:eastAsia="仿宋"/>
          <w:sz w:val="24"/>
        </w:rPr>
        <w:t>C09K</w:t>
      </w:r>
      <w:r>
        <w:rPr>
          <w:rFonts w:eastAsia="仿宋"/>
          <w:sz w:val="24"/>
        </w:rPr>
        <w:t>和</w:t>
      </w:r>
      <w:r>
        <w:rPr>
          <w:rFonts w:eastAsia="仿宋"/>
          <w:sz w:val="24"/>
        </w:rPr>
        <w:t>H10K</w:t>
      </w:r>
      <w:r>
        <w:rPr>
          <w:rFonts w:eastAsia="仿宋"/>
          <w:sz w:val="24"/>
        </w:rPr>
        <w:t>分类号小类中，电子功能层主要集中在</w:t>
      </w:r>
      <w:r>
        <w:rPr>
          <w:rFonts w:eastAsia="仿宋"/>
          <w:sz w:val="24"/>
        </w:rPr>
        <w:t>H01L</w:t>
      </w:r>
      <w:r>
        <w:rPr>
          <w:rFonts w:eastAsia="仿宋"/>
          <w:sz w:val="24"/>
        </w:rPr>
        <w:t>和</w:t>
      </w:r>
      <w:r>
        <w:rPr>
          <w:rFonts w:eastAsia="仿宋"/>
          <w:sz w:val="24"/>
        </w:rPr>
        <w:t>C09K</w:t>
      </w:r>
      <w:r>
        <w:rPr>
          <w:rFonts w:eastAsia="仿宋"/>
          <w:sz w:val="24"/>
        </w:rPr>
        <w:t>分类号中，空穴功能层主要集中在</w:t>
      </w:r>
      <w:r>
        <w:rPr>
          <w:rFonts w:eastAsia="仿宋"/>
          <w:sz w:val="24"/>
        </w:rPr>
        <w:t>H01L</w:t>
      </w:r>
      <w:r>
        <w:rPr>
          <w:rFonts w:eastAsia="仿宋"/>
          <w:sz w:val="24"/>
        </w:rPr>
        <w:t>和</w:t>
      </w:r>
      <w:r>
        <w:rPr>
          <w:rFonts w:eastAsia="仿宋"/>
          <w:sz w:val="24"/>
        </w:rPr>
        <w:t>C09K</w:t>
      </w:r>
      <w:r>
        <w:rPr>
          <w:rFonts w:eastAsia="仿宋"/>
          <w:sz w:val="24"/>
        </w:rPr>
        <w:t>分类号中，界面修饰层主要集中在</w:t>
      </w:r>
      <w:r>
        <w:rPr>
          <w:rFonts w:eastAsia="仿宋"/>
          <w:sz w:val="24"/>
        </w:rPr>
        <w:t>H01L</w:t>
      </w:r>
      <w:r>
        <w:rPr>
          <w:rFonts w:eastAsia="仿宋"/>
          <w:sz w:val="24"/>
        </w:rPr>
        <w:t>和</w:t>
      </w:r>
      <w:r>
        <w:rPr>
          <w:rFonts w:eastAsia="仿宋"/>
          <w:sz w:val="24"/>
        </w:rPr>
        <w:t>C07D</w:t>
      </w:r>
      <w:r>
        <w:rPr>
          <w:rFonts w:eastAsia="仿宋"/>
          <w:sz w:val="24"/>
        </w:rPr>
        <w:t>分类号中。</w:t>
      </w:r>
    </w:p>
    <w:p w:rsidR="00000000" w:rsidRDefault="000A495B">
      <w:pPr>
        <w:pStyle w:val="afd"/>
        <w:rPr>
          <w:rFonts w:cs="Times New Roman"/>
        </w:rPr>
      </w:pPr>
      <w:r>
        <w:rPr>
          <w:noProof/>
        </w:rPr>
        <w:drawing>
          <wp:inline distT="0" distB="0" distL="0" distR="0">
            <wp:extent cx="5610225" cy="2428875"/>
            <wp:effectExtent l="0" t="0" r="0" b="0"/>
            <wp:docPr id="1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242887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3-2-10</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各技术分支在</w:t>
      </w:r>
      <w:r>
        <w:rPr>
          <w:rFonts w:eastAsia="仿宋" w:cs="Times New Roman"/>
          <w:sz w:val="24"/>
          <w:szCs w:val="24"/>
        </w:rPr>
        <w:t>IPC</w:t>
      </w:r>
      <w:r>
        <w:rPr>
          <w:rFonts w:eastAsia="仿宋" w:cs="Times New Roman"/>
          <w:sz w:val="24"/>
          <w:szCs w:val="24"/>
        </w:rPr>
        <w:t>分类号的分布</w:t>
      </w:r>
    </w:p>
    <w:p w:rsidR="00000000" w:rsidRDefault="00000000">
      <w:pPr>
        <w:pStyle w:val="2"/>
        <w:spacing w:before="156" w:after="156"/>
        <w:jc w:val="both"/>
        <w:rPr>
          <w:rFonts w:eastAsia="宋体"/>
          <w:szCs w:val="28"/>
        </w:rPr>
      </w:pPr>
      <w:bookmarkStart w:id="335" w:name="_Toc8738"/>
      <w:bookmarkStart w:id="336" w:name="_Toc133415922"/>
      <w:bookmarkStart w:id="337" w:name="_Toc16733"/>
      <w:bookmarkStart w:id="338" w:name="_Toc7834"/>
      <w:bookmarkStart w:id="339" w:name="_Toc21310"/>
      <w:bookmarkStart w:id="340" w:name="_Toc22777"/>
      <w:bookmarkStart w:id="341" w:name="_Toc18242"/>
      <w:bookmarkStart w:id="342" w:name="_Toc9694"/>
      <w:r>
        <w:rPr>
          <w:rFonts w:eastAsia="宋体"/>
          <w:szCs w:val="28"/>
        </w:rPr>
        <w:lastRenderedPageBreak/>
        <w:t xml:space="preserve">3.3 </w:t>
      </w:r>
      <w:r>
        <w:rPr>
          <w:rFonts w:eastAsia="宋体"/>
          <w:szCs w:val="28"/>
        </w:rPr>
        <w:t>专利控制力揭示产业发展方向</w:t>
      </w:r>
      <w:bookmarkEnd w:id="335"/>
      <w:bookmarkEnd w:id="336"/>
      <w:bookmarkEnd w:id="337"/>
      <w:bookmarkEnd w:id="338"/>
      <w:bookmarkEnd w:id="339"/>
      <w:bookmarkEnd w:id="340"/>
      <w:bookmarkEnd w:id="341"/>
      <w:bookmarkEnd w:id="342"/>
    </w:p>
    <w:p w:rsidR="00000000" w:rsidRDefault="00000000">
      <w:pPr>
        <w:widowControl/>
        <w:spacing w:line="440" w:lineRule="exact"/>
        <w:ind w:firstLineChars="200" w:firstLine="480"/>
        <w:jc w:val="left"/>
        <w:rPr>
          <w:rFonts w:eastAsia="仿宋"/>
          <w:sz w:val="24"/>
        </w:rPr>
      </w:pPr>
      <w:r>
        <w:rPr>
          <w:rFonts w:eastAsia="仿宋"/>
          <w:sz w:val="24"/>
        </w:rPr>
        <w:t>从大数据分析角度，对具有专利控制力的国家</w:t>
      </w:r>
      <w:r>
        <w:rPr>
          <w:rFonts w:eastAsia="仿宋"/>
          <w:sz w:val="24"/>
        </w:rPr>
        <w:t>/</w:t>
      </w:r>
      <w:r>
        <w:rPr>
          <w:rFonts w:eastAsia="仿宋"/>
          <w:sz w:val="24"/>
        </w:rPr>
        <w:t>地区或企业的专利布局及相关活动的研究，可以辅助研判产业技术最新发展方向。</w:t>
      </w:r>
    </w:p>
    <w:p w:rsidR="00000000" w:rsidRDefault="00000000">
      <w:pPr>
        <w:pStyle w:val="3"/>
        <w:spacing w:beforeLines="50" w:before="156" w:afterLines="50" w:after="156" w:line="440" w:lineRule="exact"/>
        <w:rPr>
          <w:rFonts w:eastAsia="楷体"/>
          <w:sz w:val="28"/>
        </w:rPr>
      </w:pPr>
      <w:bookmarkStart w:id="343" w:name="_Toc7648"/>
      <w:bookmarkStart w:id="344" w:name="_Toc16783"/>
      <w:bookmarkStart w:id="345" w:name="_Toc23556"/>
      <w:bookmarkStart w:id="346" w:name="_Toc15776"/>
      <w:bookmarkStart w:id="347" w:name="_Toc16513"/>
      <w:bookmarkStart w:id="348" w:name="_Toc31701"/>
      <w:bookmarkStart w:id="349" w:name="_Toc23045"/>
      <w:bookmarkStart w:id="350" w:name="_Toc133415923"/>
      <w:r>
        <w:rPr>
          <w:rFonts w:eastAsia="楷体"/>
          <w:sz w:val="28"/>
        </w:rPr>
        <w:t>3.3.1 OLED</w:t>
      </w:r>
      <w:r>
        <w:rPr>
          <w:rFonts w:eastAsia="楷体"/>
          <w:sz w:val="28"/>
        </w:rPr>
        <w:t>发光材料产业专利申请趋势热点方向</w:t>
      </w:r>
      <w:bookmarkEnd w:id="343"/>
      <w:bookmarkEnd w:id="344"/>
      <w:bookmarkEnd w:id="345"/>
      <w:bookmarkEnd w:id="346"/>
      <w:bookmarkEnd w:id="347"/>
      <w:bookmarkEnd w:id="348"/>
      <w:bookmarkEnd w:id="349"/>
      <w:bookmarkEnd w:id="350"/>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3-3-1</w:t>
      </w:r>
      <w:r>
        <w:rPr>
          <w:rFonts w:eastAsia="仿宋"/>
          <w:sz w:val="24"/>
        </w:rPr>
        <w:t>给出了</w:t>
      </w:r>
      <w:r>
        <w:rPr>
          <w:rFonts w:eastAsia="仿宋"/>
          <w:sz w:val="24"/>
        </w:rPr>
        <w:t>OLED</w:t>
      </w:r>
      <w:r>
        <w:rPr>
          <w:rFonts w:eastAsia="仿宋"/>
          <w:sz w:val="24"/>
        </w:rPr>
        <w:t>发光材料产业各个技术分支在全球的专利分布情况，从图中可以看出，在</w:t>
      </w:r>
      <w:r>
        <w:rPr>
          <w:rFonts w:eastAsia="仿宋"/>
          <w:sz w:val="24"/>
        </w:rPr>
        <w:t>OLED</w:t>
      </w:r>
      <w:r>
        <w:rPr>
          <w:rFonts w:eastAsia="仿宋"/>
          <w:sz w:val="24"/>
        </w:rPr>
        <w:t>发光材料产业各个技术分支中，从</w:t>
      </w:r>
      <w:r>
        <w:rPr>
          <w:rFonts w:eastAsia="仿宋"/>
          <w:sz w:val="24"/>
        </w:rPr>
        <w:t>1989</w:t>
      </w:r>
      <w:r>
        <w:rPr>
          <w:rFonts w:eastAsia="仿宋"/>
          <w:sz w:val="24"/>
        </w:rPr>
        <w:t>年至今，各个分支基本都处于增长趋势，尤其是在</w:t>
      </w:r>
      <w:r>
        <w:rPr>
          <w:rFonts w:eastAsia="仿宋"/>
          <w:sz w:val="24"/>
        </w:rPr>
        <w:t>1999</w:t>
      </w:r>
      <w:r>
        <w:rPr>
          <w:rFonts w:eastAsia="仿宋"/>
          <w:sz w:val="24"/>
        </w:rPr>
        <w:t>年以后，呈现快速增长的趋势，其中发光层增式较为明显，申请量较大，其次，电子功能层和空穴功能层，增势较弱，界面修饰层增势缓慢。</w:t>
      </w:r>
    </w:p>
    <w:p w:rsidR="00000000" w:rsidRDefault="000A495B">
      <w:pPr>
        <w:ind w:left="1"/>
        <w:jc w:val="center"/>
        <w:rPr>
          <w:rFonts w:eastAsia="仿宋"/>
          <w:b/>
          <w:bCs/>
          <w:sz w:val="30"/>
          <w:szCs w:val="30"/>
        </w:rPr>
      </w:pPr>
      <w:r>
        <w:rPr>
          <w:noProof/>
        </w:rPr>
        <w:drawing>
          <wp:inline distT="0" distB="0" distL="0" distR="0">
            <wp:extent cx="5610225" cy="2438400"/>
            <wp:effectExtent l="0" t="0" r="0" b="0"/>
            <wp:docPr id="1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243840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3-3-1</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全球各技术分支专利分布</w:t>
      </w:r>
    </w:p>
    <w:p w:rsidR="00000000" w:rsidRDefault="00000000">
      <w:pPr>
        <w:widowControl/>
        <w:spacing w:line="440" w:lineRule="exact"/>
        <w:ind w:firstLineChars="200" w:firstLine="480"/>
        <w:jc w:val="left"/>
        <w:rPr>
          <w:rFonts w:eastAsia="仿宋"/>
          <w:sz w:val="24"/>
        </w:rPr>
      </w:pPr>
      <w:r>
        <w:rPr>
          <w:rFonts w:eastAsia="仿宋"/>
          <w:sz w:val="24"/>
        </w:rPr>
        <w:t>布局意愿分析是通过统计分析专利数据同族数量来计算布局因子。针对这一指标的分析可以知晓创新主体对各技术分支在其他国家或地区的布局意愿，布局意愿越高表明这一技术分支的市场正处于快速增长阶段，创新主体都积极在这一领域布局，以抢占市场。</w:t>
      </w:r>
    </w:p>
    <w:p w:rsidR="00000000" w:rsidRDefault="00000000">
      <w:pPr>
        <w:widowControl/>
        <w:spacing w:line="440" w:lineRule="exact"/>
        <w:ind w:firstLineChars="200" w:firstLine="480"/>
        <w:jc w:val="left"/>
        <w:rPr>
          <w:rFonts w:eastAsia="仿宋"/>
          <w:sz w:val="24"/>
        </w:rPr>
      </w:pPr>
      <w:r>
        <w:rPr>
          <w:rFonts w:eastAsia="仿宋"/>
          <w:sz w:val="24"/>
        </w:rPr>
        <w:t>参见图</w:t>
      </w:r>
      <w:r>
        <w:rPr>
          <w:rFonts w:eastAsia="仿宋"/>
          <w:sz w:val="24"/>
        </w:rPr>
        <w:t>3-3-2</w:t>
      </w:r>
      <w:r>
        <w:rPr>
          <w:rFonts w:eastAsia="仿宋"/>
          <w:sz w:val="24"/>
        </w:rPr>
        <w:t>，对全球</w:t>
      </w:r>
      <w:r>
        <w:rPr>
          <w:rFonts w:eastAsia="仿宋"/>
          <w:sz w:val="24"/>
        </w:rPr>
        <w:t>OLED</w:t>
      </w:r>
      <w:r>
        <w:rPr>
          <w:rFonts w:eastAsia="仿宋"/>
          <w:sz w:val="24"/>
        </w:rPr>
        <w:t>发光材料产业领域二级技术分支进行布局意愿分析可以发现：这几个领域的布局因子均为</w:t>
      </w:r>
      <w:r>
        <w:rPr>
          <w:rFonts w:eastAsia="仿宋"/>
          <w:sz w:val="24"/>
        </w:rPr>
        <w:t>1</w:t>
      </w:r>
      <w:r>
        <w:rPr>
          <w:rFonts w:eastAsia="仿宋"/>
          <w:sz w:val="24"/>
        </w:rPr>
        <w:t>，可见上述几个技术领域的申请人都在全球积极进行专利布局，其中发光层的申请量最多，可见该技术领域的申请人并不局限于在本国申请，而是积极布局其他地区，寻求更为有效的专利保护，同时说明该技术领域的市场近年来也同样吸引着众多其他国家和地区创新主体的关注。</w:t>
      </w:r>
    </w:p>
    <w:p w:rsidR="00000000" w:rsidRDefault="000A495B">
      <w:pPr>
        <w:jc w:val="center"/>
      </w:pPr>
      <w:r>
        <w:rPr>
          <w:noProof/>
        </w:rPr>
        <w:lastRenderedPageBreak/>
        <w:drawing>
          <wp:inline distT="0" distB="0" distL="0" distR="0">
            <wp:extent cx="5610225" cy="2305050"/>
            <wp:effectExtent l="0" t="0" r="0" b="0"/>
            <wp:docPr id="1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230505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3-3-2</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全球各技术布局意愿图</w:t>
      </w:r>
    </w:p>
    <w:p w:rsidR="00000000" w:rsidRDefault="00000000">
      <w:pPr>
        <w:pStyle w:val="3"/>
        <w:spacing w:beforeLines="50" w:before="156" w:afterLines="50" w:after="156" w:line="440" w:lineRule="exact"/>
        <w:rPr>
          <w:rFonts w:eastAsia="楷体"/>
          <w:sz w:val="28"/>
        </w:rPr>
      </w:pPr>
      <w:bookmarkStart w:id="351" w:name="_Toc1436"/>
      <w:bookmarkStart w:id="352" w:name="_Toc26769"/>
      <w:bookmarkStart w:id="353" w:name="_Toc26484"/>
      <w:bookmarkStart w:id="354" w:name="_Toc32629"/>
      <w:bookmarkStart w:id="355" w:name="_Toc20046"/>
      <w:bookmarkStart w:id="356" w:name="_Toc133415924"/>
      <w:bookmarkStart w:id="357" w:name="_Toc2485"/>
      <w:bookmarkStart w:id="358" w:name="_Toc30000"/>
      <w:r>
        <w:rPr>
          <w:rFonts w:eastAsia="楷体"/>
          <w:sz w:val="28"/>
        </w:rPr>
        <w:t xml:space="preserve">3.3.2 </w:t>
      </w:r>
      <w:bookmarkEnd w:id="355"/>
      <w:bookmarkEnd w:id="356"/>
      <w:r>
        <w:rPr>
          <w:rFonts w:eastAsia="楷体"/>
          <w:sz w:val="28"/>
        </w:rPr>
        <w:t>产业增长热点方向</w:t>
      </w:r>
      <w:bookmarkEnd w:id="351"/>
      <w:bookmarkEnd w:id="352"/>
      <w:bookmarkEnd w:id="353"/>
      <w:bookmarkEnd w:id="354"/>
      <w:bookmarkEnd w:id="357"/>
      <w:bookmarkEnd w:id="358"/>
    </w:p>
    <w:p w:rsidR="00000000" w:rsidRDefault="00000000">
      <w:pPr>
        <w:widowControl/>
        <w:spacing w:line="440" w:lineRule="exact"/>
        <w:ind w:firstLineChars="200" w:firstLine="480"/>
        <w:jc w:val="left"/>
        <w:rPr>
          <w:rFonts w:eastAsia="仿宋"/>
          <w:sz w:val="24"/>
        </w:rPr>
      </w:pPr>
      <w:r>
        <w:rPr>
          <w:rFonts w:eastAsia="仿宋"/>
          <w:sz w:val="24"/>
        </w:rPr>
        <w:t>产业增长热点方向分析中，分别计算各二级技术分支下，全球和中国</w:t>
      </w:r>
      <w:r>
        <w:rPr>
          <w:rFonts w:eastAsia="仿宋"/>
          <w:sz w:val="24"/>
        </w:rPr>
        <w:t>OLED</w:t>
      </w:r>
      <w:r>
        <w:rPr>
          <w:rFonts w:eastAsia="仿宋"/>
          <w:sz w:val="24"/>
        </w:rPr>
        <w:t>发光材料领域的近十年和近五年的专利申请量占比。该比例太大，表明该领域基础相对越薄弱。相反地，若该比例太小，则表明该领域已经不再是近几年研究的焦点或已发展到饱和，也不应作为发展的重点。因此，需要选择合适的基准范围以从中挑选出可以发展的方向。本报告选择置信区间作为选择的基准范围，以各技术分支申请量占比的平均值上下浮动标准差作为置信区间，以选择出发展的方向。</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3-3-3</w:t>
      </w:r>
      <w:r>
        <w:rPr>
          <w:rFonts w:eastAsia="仿宋"/>
          <w:sz w:val="24"/>
        </w:rPr>
        <w:t>示出了全球</w:t>
      </w:r>
      <w:r>
        <w:rPr>
          <w:rFonts w:eastAsia="仿宋"/>
          <w:sz w:val="24"/>
        </w:rPr>
        <w:t>OLED</w:t>
      </w:r>
      <w:r>
        <w:rPr>
          <w:rFonts w:eastAsia="仿宋"/>
          <w:sz w:val="24"/>
        </w:rPr>
        <w:t>发光材料领域近年申请占比情况。</w:t>
      </w:r>
    </w:p>
    <w:p w:rsidR="00000000" w:rsidRDefault="00000000">
      <w:pPr>
        <w:widowControl/>
        <w:spacing w:line="440" w:lineRule="exact"/>
        <w:ind w:firstLineChars="200" w:firstLine="480"/>
        <w:jc w:val="left"/>
        <w:rPr>
          <w:rFonts w:eastAsia="仿宋"/>
          <w:sz w:val="24"/>
        </w:rPr>
      </w:pPr>
      <w:r>
        <w:rPr>
          <w:rFonts w:eastAsia="仿宋"/>
          <w:sz w:val="24"/>
        </w:rPr>
        <w:t>从图中可以看出：从近五年和近十年的全球</w:t>
      </w:r>
      <w:r>
        <w:rPr>
          <w:rFonts w:eastAsia="仿宋"/>
          <w:sz w:val="24"/>
        </w:rPr>
        <w:t>OLED</w:t>
      </w:r>
      <w:r>
        <w:rPr>
          <w:rFonts w:eastAsia="仿宋"/>
          <w:sz w:val="24"/>
        </w:rPr>
        <w:t>发光材料领域申请占比来看，发光层、电子功能层、空穴功能层和界面修饰层分别位于相应的置信区间内，表明从全球近年发展情况来看，上述几个技术分支热度增加的发展方向。</w:t>
      </w:r>
    </w:p>
    <w:p w:rsidR="00000000" w:rsidRDefault="000A495B">
      <w:pPr>
        <w:pStyle w:val="afd"/>
        <w:rPr>
          <w:rFonts w:eastAsia="仿宋" w:cs="Times New Roman"/>
          <w:sz w:val="28"/>
          <w:szCs w:val="28"/>
        </w:rPr>
      </w:pPr>
      <w:r>
        <w:rPr>
          <w:noProof/>
        </w:rPr>
        <w:drawing>
          <wp:inline distT="0" distB="0" distL="0" distR="0">
            <wp:extent cx="5610225" cy="2333625"/>
            <wp:effectExtent l="0" t="0" r="0" b="0"/>
            <wp:docPr id="1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3-3-3</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近年申请占比情况</w:t>
      </w:r>
    </w:p>
    <w:p w:rsidR="00000000" w:rsidRDefault="00000000">
      <w:pPr>
        <w:pStyle w:val="3"/>
        <w:spacing w:beforeLines="50" w:before="156" w:afterLines="50" w:after="156" w:line="440" w:lineRule="exact"/>
        <w:rPr>
          <w:rFonts w:eastAsia="楷体"/>
          <w:sz w:val="28"/>
        </w:rPr>
      </w:pPr>
      <w:bookmarkStart w:id="359" w:name="_Toc363"/>
      <w:bookmarkStart w:id="360" w:name="_Toc5887"/>
      <w:bookmarkStart w:id="361" w:name="_Toc21698"/>
      <w:bookmarkStart w:id="362" w:name="_Toc30405"/>
      <w:bookmarkStart w:id="363" w:name="_Toc7124"/>
      <w:bookmarkStart w:id="364" w:name="_Toc133415925"/>
      <w:bookmarkStart w:id="365" w:name="_Toc20906"/>
      <w:bookmarkStart w:id="366" w:name="_Toc16534"/>
      <w:r>
        <w:rPr>
          <w:rFonts w:eastAsia="楷体"/>
          <w:sz w:val="28"/>
        </w:rPr>
        <w:lastRenderedPageBreak/>
        <w:t xml:space="preserve">3.3.3 </w:t>
      </w:r>
      <w:bookmarkEnd w:id="363"/>
      <w:bookmarkEnd w:id="364"/>
      <w:r>
        <w:rPr>
          <w:rFonts w:eastAsia="楷体"/>
          <w:sz w:val="28"/>
        </w:rPr>
        <w:t>行业龙头企业研发热点方向</w:t>
      </w:r>
      <w:bookmarkEnd w:id="359"/>
      <w:bookmarkEnd w:id="360"/>
      <w:bookmarkEnd w:id="361"/>
      <w:bookmarkEnd w:id="362"/>
      <w:bookmarkEnd w:id="365"/>
      <w:bookmarkEnd w:id="366"/>
    </w:p>
    <w:p w:rsidR="00000000" w:rsidRDefault="00000000">
      <w:pPr>
        <w:widowControl/>
        <w:spacing w:line="440" w:lineRule="exact"/>
        <w:ind w:firstLineChars="200" w:firstLine="480"/>
        <w:jc w:val="left"/>
        <w:rPr>
          <w:rFonts w:eastAsia="仿宋"/>
          <w:sz w:val="24"/>
        </w:rPr>
      </w:pPr>
      <w:r>
        <w:rPr>
          <w:rFonts w:eastAsia="仿宋"/>
          <w:sz w:val="24"/>
        </w:rPr>
        <w:t>选取</w:t>
      </w:r>
      <w:r>
        <w:rPr>
          <w:rFonts w:eastAsia="仿宋"/>
          <w:sz w:val="24"/>
        </w:rPr>
        <w:t>OLED</w:t>
      </w:r>
      <w:r>
        <w:rPr>
          <w:rFonts w:eastAsia="仿宋"/>
          <w:sz w:val="24"/>
        </w:rPr>
        <w:t>发光材料领域专利申请量全球排名前</w:t>
      </w:r>
      <w:r>
        <w:rPr>
          <w:rFonts w:eastAsia="仿宋"/>
          <w:sz w:val="24"/>
        </w:rPr>
        <w:t>10</w:t>
      </w:r>
      <w:r>
        <w:rPr>
          <w:rFonts w:eastAsia="仿宋"/>
          <w:sz w:val="24"/>
        </w:rPr>
        <w:t>的申请人在相关领域的专利申请作为研究对象，虽然这些龙头企业的侧重点各不相同，但通过对这些龙头企业的研究，可以看出行业未来的研究热点和产业发展趋势。</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3-3-4</w:t>
      </w:r>
      <w:r>
        <w:rPr>
          <w:rFonts w:eastAsia="仿宋"/>
          <w:sz w:val="24"/>
        </w:rPr>
        <w:t>示出了全球</w:t>
      </w:r>
      <w:r>
        <w:rPr>
          <w:rFonts w:eastAsia="仿宋"/>
          <w:sz w:val="24"/>
        </w:rPr>
        <w:t>OLED</w:t>
      </w:r>
      <w:r>
        <w:rPr>
          <w:rFonts w:eastAsia="仿宋"/>
          <w:sz w:val="24"/>
        </w:rPr>
        <w:t>发光材料领域专利申请量排名前</w:t>
      </w:r>
      <w:r>
        <w:rPr>
          <w:rFonts w:eastAsia="仿宋"/>
          <w:sz w:val="24"/>
        </w:rPr>
        <w:t>10</w:t>
      </w:r>
      <w:r>
        <w:rPr>
          <w:rFonts w:eastAsia="仿宋"/>
          <w:sz w:val="24"/>
        </w:rPr>
        <w:t>位的龙头企业在二级技术分支中的申请量，即技术集中度。专利申请量越大，表明对于全球重要申请人而言，该技术领域的研究热度更高，相对吸引了更多拥有雄厚技术实力的企业</w:t>
      </w:r>
      <w:r>
        <w:rPr>
          <w:rFonts w:eastAsia="仿宋"/>
          <w:sz w:val="24"/>
        </w:rPr>
        <w:t>/</w:t>
      </w:r>
      <w:r>
        <w:rPr>
          <w:rFonts w:eastAsia="仿宋"/>
          <w:sz w:val="24"/>
        </w:rPr>
        <w:t>研究机构进行研究。</w:t>
      </w:r>
    </w:p>
    <w:p w:rsidR="00000000" w:rsidRDefault="00000000">
      <w:pPr>
        <w:widowControl/>
        <w:spacing w:line="440" w:lineRule="exact"/>
        <w:ind w:firstLineChars="200" w:firstLine="480"/>
        <w:jc w:val="left"/>
        <w:rPr>
          <w:rFonts w:eastAsia="仿宋"/>
          <w:sz w:val="24"/>
        </w:rPr>
      </w:pPr>
      <w:r>
        <w:rPr>
          <w:rFonts w:eastAsia="仿宋"/>
          <w:sz w:val="24"/>
        </w:rPr>
        <w:t>技术集中度是对整个分支的专利结构集中程度的测量指标，用来衡量该分支企业的数目和相对规模的差异，是市场势力的重要量化指标，技术集中度高说明排名位居前列的申请人占得份额比较大，市场竞争很激烈。</w:t>
      </w:r>
    </w:p>
    <w:p w:rsidR="00000000" w:rsidRDefault="00000000">
      <w:pPr>
        <w:widowControl/>
        <w:spacing w:line="440" w:lineRule="exact"/>
        <w:ind w:firstLineChars="200" w:firstLine="480"/>
        <w:jc w:val="left"/>
        <w:rPr>
          <w:rFonts w:eastAsia="仿宋"/>
          <w:sz w:val="24"/>
        </w:rPr>
      </w:pPr>
      <w:r>
        <w:rPr>
          <w:rFonts w:eastAsia="仿宋"/>
          <w:sz w:val="24"/>
        </w:rPr>
        <w:t>从图中可以看出：对于在全球产业布局中申请量具有领先优势发光层这一技术分支，全球龙头企业的相关专利申请量排名首位，技术集中度为</w:t>
      </w:r>
      <w:r>
        <w:rPr>
          <w:rFonts w:eastAsia="仿宋"/>
          <w:sz w:val="24"/>
        </w:rPr>
        <w:t>0.2225</w:t>
      </w:r>
      <w:r>
        <w:rPr>
          <w:rFonts w:eastAsia="仿宋"/>
          <w:sz w:val="24"/>
        </w:rPr>
        <w:t>。从以上角度来看，全球龙头企业布局结构与全球整体产业布局结构之间存在相似之处，这说明，优势企业</w:t>
      </w:r>
      <w:r>
        <w:rPr>
          <w:rFonts w:eastAsia="仿宋"/>
          <w:sz w:val="24"/>
        </w:rPr>
        <w:t>/</w:t>
      </w:r>
      <w:r>
        <w:rPr>
          <w:rFonts w:eastAsia="仿宋"/>
          <w:sz w:val="24"/>
        </w:rPr>
        <w:t>研究机构都重点关注全球</w:t>
      </w:r>
      <w:r>
        <w:rPr>
          <w:rFonts w:eastAsia="仿宋"/>
          <w:sz w:val="24"/>
        </w:rPr>
        <w:t>OLED</w:t>
      </w:r>
      <w:r>
        <w:rPr>
          <w:rFonts w:eastAsia="仿宋"/>
          <w:sz w:val="24"/>
        </w:rPr>
        <w:t>发光材料领域的核心技术，同时，对热点核心技术的研发，也有利于产业领先企业在技术上继续保持领先地位，同时辅以专利申请的方式来对其他企业设置壁垒，从而保证其技术以及市场上的领先地位。</w:t>
      </w:r>
    </w:p>
    <w:p w:rsidR="00000000" w:rsidRDefault="000A495B">
      <w:pPr>
        <w:jc w:val="center"/>
      </w:pPr>
      <w:r>
        <w:rPr>
          <w:noProof/>
        </w:rPr>
        <w:drawing>
          <wp:inline distT="0" distB="0" distL="0" distR="0">
            <wp:extent cx="5610225" cy="2514600"/>
            <wp:effectExtent l="0" t="0" r="0" b="0"/>
            <wp:docPr id="1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3-3-4</w:t>
      </w:r>
      <w:r>
        <w:rPr>
          <w:rFonts w:eastAsia="仿宋" w:cs="Times New Roman"/>
          <w:sz w:val="24"/>
          <w:szCs w:val="24"/>
        </w:rPr>
        <w:t>产业龙头企业在三级技术分支的技术集中度</w:t>
      </w:r>
    </w:p>
    <w:p w:rsidR="00000000" w:rsidRDefault="00000000">
      <w:pPr>
        <w:pStyle w:val="3"/>
        <w:spacing w:beforeLines="50" w:before="156" w:afterLines="50" w:after="156" w:line="440" w:lineRule="exact"/>
        <w:rPr>
          <w:rFonts w:eastAsia="楷体"/>
          <w:sz w:val="28"/>
        </w:rPr>
      </w:pPr>
      <w:bookmarkStart w:id="367" w:name="_Toc6686"/>
      <w:bookmarkStart w:id="368" w:name="_Toc133415926"/>
      <w:bookmarkStart w:id="369" w:name="_Toc4136"/>
      <w:bookmarkStart w:id="370" w:name="_Toc13451"/>
      <w:bookmarkStart w:id="371" w:name="_Toc18691"/>
      <w:bookmarkStart w:id="372" w:name="_Toc29863"/>
      <w:bookmarkStart w:id="373" w:name="_Toc23296"/>
      <w:bookmarkStart w:id="374" w:name="_Toc13319"/>
      <w:r>
        <w:rPr>
          <w:rFonts w:eastAsia="楷体"/>
          <w:sz w:val="28"/>
        </w:rPr>
        <w:t xml:space="preserve">3.3.4 </w:t>
      </w:r>
      <w:bookmarkEnd w:id="367"/>
      <w:bookmarkEnd w:id="368"/>
      <w:r>
        <w:rPr>
          <w:rFonts w:eastAsia="楷体"/>
          <w:sz w:val="28"/>
        </w:rPr>
        <w:t>核心专利技术分布与布局导向</w:t>
      </w:r>
      <w:bookmarkEnd w:id="369"/>
      <w:bookmarkEnd w:id="370"/>
      <w:bookmarkEnd w:id="371"/>
      <w:bookmarkEnd w:id="372"/>
      <w:bookmarkEnd w:id="373"/>
      <w:bookmarkEnd w:id="374"/>
    </w:p>
    <w:p w:rsidR="00000000" w:rsidRDefault="00000000">
      <w:pPr>
        <w:widowControl/>
        <w:spacing w:line="440" w:lineRule="exact"/>
        <w:ind w:firstLineChars="200" w:firstLine="480"/>
        <w:jc w:val="left"/>
        <w:rPr>
          <w:rFonts w:eastAsia="仿宋"/>
          <w:sz w:val="24"/>
        </w:rPr>
      </w:pPr>
      <w:r>
        <w:rPr>
          <w:rFonts w:eastAsia="仿宋"/>
          <w:sz w:val="24"/>
        </w:rPr>
        <w:t>专利的被引用频次能够反映出技术的影响力，被引用次数多的专利往往是该领域中的基础专利，其中很多专利是对技术发展做出了开创性的工作，具有十分重要的意义。</w:t>
      </w:r>
      <w:r>
        <w:rPr>
          <w:rFonts w:eastAsia="仿宋"/>
          <w:sz w:val="24"/>
        </w:rPr>
        <w:lastRenderedPageBreak/>
        <w:t>专利的同族数量能够反映出市场布局的广度，高价值的专利往往在多个国家和地区寻求保护，以期望对更加广泛的市场产生控制力。</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3-3-5</w:t>
      </w:r>
      <w:r>
        <w:rPr>
          <w:rFonts w:eastAsia="仿宋"/>
          <w:sz w:val="24"/>
        </w:rPr>
        <w:t>示出了全球</w:t>
      </w:r>
      <w:r>
        <w:rPr>
          <w:rFonts w:eastAsia="仿宋"/>
          <w:sz w:val="24"/>
        </w:rPr>
        <w:t>OLED</w:t>
      </w:r>
      <w:r>
        <w:rPr>
          <w:rFonts w:eastAsia="仿宋"/>
          <w:sz w:val="24"/>
        </w:rPr>
        <w:t>发光材料领域二级技术分支的技术创新分布。从图中可以看出：对二级技术分支的平均专利施引频次和平均同族数量进行比较，电子功能层和空穴功能层的平均被引用专利数量较高，均在</w:t>
      </w:r>
      <w:r>
        <w:rPr>
          <w:rFonts w:eastAsia="仿宋"/>
          <w:sz w:val="24"/>
        </w:rPr>
        <w:t>6.9</w:t>
      </w:r>
      <w:r>
        <w:rPr>
          <w:rFonts w:eastAsia="仿宋"/>
          <w:sz w:val="24"/>
        </w:rPr>
        <w:t>以上，平均同族数量较高的技术领域为发光层和界面修饰层。</w:t>
      </w:r>
    </w:p>
    <w:p w:rsidR="00000000" w:rsidRDefault="000A495B">
      <w:pPr>
        <w:ind w:leftChars="-1" w:left="-2" w:firstLine="1"/>
        <w:jc w:val="center"/>
        <w:rPr>
          <w:rFonts w:eastAsia="仿宋"/>
          <w:sz w:val="28"/>
          <w:szCs w:val="28"/>
        </w:rPr>
      </w:pPr>
      <w:r>
        <w:rPr>
          <w:noProof/>
        </w:rPr>
        <w:drawing>
          <wp:inline distT="0" distB="0" distL="0" distR="0">
            <wp:extent cx="5610225" cy="2400300"/>
            <wp:effectExtent l="0" t="0" r="0" b="0"/>
            <wp:docPr id="2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240030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3-3-5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三级技术分支的技术创新分布</w:t>
      </w:r>
    </w:p>
    <w:p w:rsidR="00000000" w:rsidRDefault="00000000">
      <w:pPr>
        <w:pStyle w:val="3"/>
        <w:spacing w:beforeLines="50" w:before="156" w:afterLines="50" w:after="156" w:line="440" w:lineRule="exact"/>
        <w:rPr>
          <w:rFonts w:eastAsia="楷体"/>
          <w:sz w:val="28"/>
        </w:rPr>
      </w:pPr>
      <w:bookmarkStart w:id="375" w:name="_Toc133415927"/>
      <w:bookmarkStart w:id="376" w:name="_Toc16255"/>
      <w:bookmarkStart w:id="377" w:name="_Toc5121"/>
      <w:bookmarkStart w:id="378" w:name="_Toc2463"/>
      <w:bookmarkStart w:id="379" w:name="_Toc20406"/>
      <w:bookmarkStart w:id="380" w:name="_Toc19426"/>
      <w:bookmarkStart w:id="381" w:name="_Toc8384"/>
      <w:bookmarkStart w:id="382" w:name="_Toc9943"/>
      <w:r>
        <w:rPr>
          <w:rFonts w:eastAsia="楷体"/>
          <w:sz w:val="28"/>
        </w:rPr>
        <w:t xml:space="preserve">3.3.5 </w:t>
      </w:r>
      <w:r>
        <w:rPr>
          <w:rFonts w:eastAsia="楷体"/>
          <w:sz w:val="28"/>
        </w:rPr>
        <w:t>从企业协同创新方向看产业技术发展新动向</w:t>
      </w:r>
      <w:bookmarkEnd w:id="375"/>
      <w:bookmarkEnd w:id="376"/>
      <w:bookmarkEnd w:id="377"/>
      <w:bookmarkEnd w:id="378"/>
      <w:bookmarkEnd w:id="379"/>
      <w:bookmarkEnd w:id="380"/>
      <w:bookmarkEnd w:id="381"/>
      <w:bookmarkEnd w:id="382"/>
      <w:r>
        <w:rPr>
          <w:rFonts w:eastAsia="楷体"/>
          <w:sz w:val="28"/>
        </w:rPr>
        <w:t xml:space="preserve"> </w:t>
      </w:r>
    </w:p>
    <w:p w:rsidR="00000000" w:rsidRDefault="00000000">
      <w:pPr>
        <w:widowControl/>
        <w:spacing w:line="440" w:lineRule="exact"/>
        <w:ind w:firstLineChars="200" w:firstLine="480"/>
        <w:jc w:val="left"/>
        <w:rPr>
          <w:rFonts w:eastAsia="仿宋"/>
          <w:sz w:val="24"/>
        </w:rPr>
      </w:pPr>
      <w:r>
        <w:rPr>
          <w:rFonts w:eastAsia="仿宋"/>
          <w:sz w:val="24"/>
        </w:rPr>
        <w:t>协同创新是产业中常见的形态，当企业认识到某一技术是未来的发展方向时，首先会在企业内部进行技术攻关，当自身技术攻关不可行，例如缺少设备或人才时，企业会选择与其他单位或个人进行合作，共同进行技术研发，可以说只有对于有一定技术含量并且被创新主体普遍关注的技术分支，创新主体之间才会积极进行协同申请以实现强强联合，因此协同创新的热点方向往往意味着这一技术发展前景广阔，从另一个角度提供了产业发展之道。</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3-3-6</w:t>
      </w:r>
      <w:r>
        <w:rPr>
          <w:rFonts w:eastAsia="仿宋"/>
          <w:sz w:val="24"/>
        </w:rPr>
        <w:t>示出了全球</w:t>
      </w:r>
      <w:r>
        <w:rPr>
          <w:rFonts w:eastAsia="仿宋"/>
          <w:sz w:val="24"/>
        </w:rPr>
        <w:t>OLED</w:t>
      </w:r>
      <w:r>
        <w:rPr>
          <w:rFonts w:eastAsia="仿宋"/>
          <w:sz w:val="24"/>
        </w:rPr>
        <w:t>发光材料领域各二级技术分支的协同创新分布。从图中可以看出：全球</w:t>
      </w:r>
      <w:r>
        <w:rPr>
          <w:rFonts w:eastAsia="仿宋"/>
          <w:sz w:val="24"/>
        </w:rPr>
        <w:t>OLED</w:t>
      </w:r>
      <w:r>
        <w:rPr>
          <w:rFonts w:eastAsia="仿宋"/>
          <w:sz w:val="24"/>
        </w:rPr>
        <w:t>发光材料领域二级技术分支的发光层申请占比最高，协同申请的数量也最高，其他几个分支的协同申请数量占比也不高。因此，不可否认的是，专利基础雄厚的领域，协同申请数量会占据一定的优势，协同创新占比可以在一定程度上反映出某一领域协同创新的活跃程度，从协同创新占比来看，发光层技术领域的协同创新活跃度较高。综合协同创新分布情况来看，</w:t>
      </w:r>
      <w:r>
        <w:rPr>
          <w:rFonts w:eastAsia="仿宋"/>
          <w:sz w:val="24"/>
        </w:rPr>
        <w:t>OLED</w:t>
      </w:r>
      <w:r>
        <w:rPr>
          <w:rFonts w:eastAsia="仿宋"/>
          <w:sz w:val="24"/>
        </w:rPr>
        <w:t>发光材料领域各二级技术分支的细分领域中，发光层领域是</w:t>
      </w:r>
      <w:r>
        <w:rPr>
          <w:rFonts w:eastAsia="仿宋"/>
          <w:sz w:val="24"/>
        </w:rPr>
        <w:t>OLED</w:t>
      </w:r>
      <w:r>
        <w:rPr>
          <w:rFonts w:eastAsia="仿宋"/>
          <w:sz w:val="24"/>
        </w:rPr>
        <w:t>发光材料领域中的热点研究合作方向。</w:t>
      </w:r>
    </w:p>
    <w:p w:rsidR="00000000" w:rsidRDefault="000A495B">
      <w:pPr>
        <w:jc w:val="center"/>
      </w:pPr>
      <w:r>
        <w:rPr>
          <w:noProof/>
        </w:rPr>
        <w:lastRenderedPageBreak/>
        <w:drawing>
          <wp:inline distT="0" distB="0" distL="0" distR="0">
            <wp:extent cx="5324475" cy="2409825"/>
            <wp:effectExtent l="0" t="0" r="0" b="0"/>
            <wp:docPr id="21"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24475" cy="2409825"/>
                    </a:xfrm>
                    <a:prstGeom prst="rect">
                      <a:avLst/>
                    </a:prstGeom>
                    <a:noFill/>
                    <a:ln>
                      <a:noFill/>
                    </a:ln>
                    <a:effectLst/>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3-3-6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三级技术分支的协同创新分布</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3-3-7</w:t>
      </w:r>
      <w:r>
        <w:rPr>
          <w:rFonts w:eastAsia="仿宋"/>
          <w:sz w:val="24"/>
        </w:rPr>
        <w:t>示出了全球企业、高校以及科研院所</w:t>
      </w:r>
      <w:r>
        <w:rPr>
          <w:rFonts w:eastAsia="仿宋"/>
          <w:sz w:val="24"/>
        </w:rPr>
        <w:t>OLED</w:t>
      </w:r>
      <w:r>
        <w:rPr>
          <w:rFonts w:eastAsia="仿宋"/>
          <w:sz w:val="24"/>
        </w:rPr>
        <w:t>发光材料领域专利申请主体协同创新占比分布。从图中可以看出：公司、院校</w:t>
      </w:r>
      <w:r>
        <w:rPr>
          <w:rFonts w:eastAsia="仿宋"/>
          <w:sz w:val="24"/>
        </w:rPr>
        <w:t>/</w:t>
      </w:r>
      <w:r>
        <w:rPr>
          <w:rFonts w:eastAsia="仿宋"/>
          <w:sz w:val="24"/>
        </w:rPr>
        <w:t>研究所的协同申请重点布局在发光层领域，占据较高比重，此外公司还对电子功能层和空穴功能层领域表现出较高的布局热情。总的来说，</w:t>
      </w:r>
      <w:r>
        <w:rPr>
          <w:rFonts w:eastAsia="仿宋"/>
          <w:sz w:val="24"/>
        </w:rPr>
        <w:t>OLED</w:t>
      </w:r>
      <w:r>
        <w:rPr>
          <w:rFonts w:eastAsia="仿宋"/>
          <w:sz w:val="24"/>
        </w:rPr>
        <w:t>发光材料各技术分支中，发光层技术方面申请量较多，创新主体之间积极进行协同申请以实现强强联合。</w:t>
      </w:r>
    </w:p>
    <w:p w:rsidR="00000000" w:rsidRDefault="000A495B">
      <w:pPr>
        <w:jc w:val="center"/>
      </w:pPr>
      <w:r>
        <w:rPr>
          <w:noProof/>
        </w:rPr>
        <w:drawing>
          <wp:inline distT="0" distB="0" distL="0" distR="0">
            <wp:extent cx="5381625" cy="2562225"/>
            <wp:effectExtent l="0" t="0" r="0" b="0"/>
            <wp:docPr id="22"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2562225"/>
                    </a:xfrm>
                    <a:prstGeom prst="rect">
                      <a:avLst/>
                    </a:prstGeom>
                    <a:noFill/>
                    <a:ln>
                      <a:noFill/>
                    </a:ln>
                    <a:effectLst/>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3-3-7</w:t>
      </w:r>
      <w:r>
        <w:rPr>
          <w:rFonts w:eastAsia="仿宋" w:cs="Times New Roman"/>
          <w:sz w:val="24"/>
          <w:szCs w:val="24"/>
        </w:rPr>
        <w:t>高校、研究所在三级分支的协同申请占比</w:t>
      </w:r>
    </w:p>
    <w:p w:rsidR="00000000" w:rsidRDefault="00000000">
      <w:pPr>
        <w:pStyle w:val="3"/>
        <w:spacing w:beforeLines="50" w:before="156" w:afterLines="50" w:after="156" w:line="440" w:lineRule="exact"/>
        <w:rPr>
          <w:rFonts w:eastAsia="楷体"/>
          <w:sz w:val="28"/>
        </w:rPr>
      </w:pPr>
      <w:bookmarkStart w:id="383" w:name="_Toc24367"/>
      <w:bookmarkStart w:id="384" w:name="_Toc10244"/>
      <w:bookmarkStart w:id="385" w:name="_Toc28453"/>
      <w:bookmarkStart w:id="386" w:name="_Toc133415928"/>
      <w:bookmarkStart w:id="387" w:name="_Toc7785"/>
      <w:bookmarkStart w:id="388" w:name="_Toc32587"/>
      <w:bookmarkStart w:id="389" w:name="_Toc5746"/>
      <w:bookmarkStart w:id="390" w:name="_Toc8622"/>
      <w:r>
        <w:rPr>
          <w:rFonts w:eastAsia="楷体"/>
          <w:sz w:val="28"/>
        </w:rPr>
        <w:t xml:space="preserve">3.3.6 </w:t>
      </w:r>
      <w:r>
        <w:rPr>
          <w:rFonts w:eastAsia="楷体"/>
          <w:sz w:val="28"/>
        </w:rPr>
        <w:t>从专利运用和保护看技术热点方向</w:t>
      </w:r>
      <w:bookmarkEnd w:id="383"/>
      <w:bookmarkEnd w:id="384"/>
      <w:bookmarkEnd w:id="385"/>
      <w:bookmarkEnd w:id="386"/>
      <w:bookmarkEnd w:id="387"/>
      <w:bookmarkEnd w:id="388"/>
      <w:bookmarkEnd w:id="389"/>
      <w:bookmarkEnd w:id="390"/>
    </w:p>
    <w:p w:rsidR="00000000" w:rsidRDefault="00000000">
      <w:pPr>
        <w:widowControl/>
        <w:spacing w:line="440" w:lineRule="exact"/>
        <w:ind w:firstLineChars="200" w:firstLine="480"/>
        <w:jc w:val="left"/>
        <w:rPr>
          <w:rFonts w:eastAsia="仿宋"/>
          <w:sz w:val="24"/>
        </w:rPr>
      </w:pPr>
      <w:r>
        <w:rPr>
          <w:rFonts w:eastAsia="仿宋"/>
          <w:sz w:val="24"/>
        </w:rPr>
        <w:t>1</w:t>
      </w:r>
      <w:r>
        <w:rPr>
          <w:rFonts w:eastAsia="仿宋"/>
          <w:sz w:val="24"/>
        </w:rPr>
        <w:t>）专利许可交易趋势</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3-3-8</w:t>
      </w:r>
      <w:r>
        <w:rPr>
          <w:rFonts w:eastAsia="仿宋"/>
          <w:sz w:val="24"/>
        </w:rPr>
        <w:t>给出了</w:t>
      </w:r>
      <w:r>
        <w:rPr>
          <w:rFonts w:eastAsia="仿宋"/>
          <w:sz w:val="24"/>
        </w:rPr>
        <w:t>OLED</w:t>
      </w:r>
      <w:r>
        <w:rPr>
          <w:rFonts w:eastAsia="仿宋"/>
          <w:sz w:val="24"/>
        </w:rPr>
        <w:t>发光材料产业近</w:t>
      </w:r>
      <w:r>
        <w:rPr>
          <w:rFonts w:eastAsia="仿宋"/>
          <w:sz w:val="24"/>
        </w:rPr>
        <w:t>20</w:t>
      </w:r>
      <w:r>
        <w:rPr>
          <w:rFonts w:eastAsia="仿宋"/>
          <w:sz w:val="24"/>
        </w:rPr>
        <w:t>年的专利许可交易情况，从图中可以看出，整体呈现波动状态，第一次高峰出现在</w:t>
      </w:r>
      <w:r>
        <w:rPr>
          <w:rFonts w:eastAsia="仿宋"/>
          <w:sz w:val="24"/>
        </w:rPr>
        <w:t>2009</w:t>
      </w:r>
      <w:r>
        <w:rPr>
          <w:rFonts w:eastAsia="仿宋"/>
          <w:sz w:val="24"/>
        </w:rPr>
        <w:t>年的</w:t>
      </w:r>
      <w:r>
        <w:rPr>
          <w:rFonts w:eastAsia="仿宋"/>
          <w:sz w:val="24"/>
        </w:rPr>
        <w:t>13</w:t>
      </w:r>
      <w:r>
        <w:rPr>
          <w:rFonts w:eastAsia="仿宋"/>
          <w:sz w:val="24"/>
        </w:rPr>
        <w:t>件，第二次出现在</w:t>
      </w:r>
      <w:r>
        <w:rPr>
          <w:rFonts w:eastAsia="仿宋"/>
          <w:sz w:val="24"/>
        </w:rPr>
        <w:t>2016</w:t>
      </w:r>
      <w:r>
        <w:rPr>
          <w:rFonts w:eastAsia="仿宋"/>
          <w:sz w:val="24"/>
        </w:rPr>
        <w:t>年的</w:t>
      </w:r>
      <w:r>
        <w:rPr>
          <w:rFonts w:eastAsia="仿宋"/>
          <w:sz w:val="24"/>
        </w:rPr>
        <w:t>23</w:t>
      </w:r>
      <w:r>
        <w:rPr>
          <w:rFonts w:eastAsia="仿宋"/>
          <w:sz w:val="24"/>
        </w:rPr>
        <w:t>件，第三次出现在</w:t>
      </w:r>
      <w:r>
        <w:rPr>
          <w:rFonts w:eastAsia="仿宋"/>
          <w:sz w:val="24"/>
        </w:rPr>
        <w:t>2018</w:t>
      </w:r>
      <w:r>
        <w:rPr>
          <w:rFonts w:eastAsia="仿宋"/>
          <w:sz w:val="24"/>
        </w:rPr>
        <w:t>年的</w:t>
      </w:r>
      <w:r>
        <w:rPr>
          <w:rFonts w:eastAsia="仿宋"/>
          <w:sz w:val="24"/>
        </w:rPr>
        <w:t>16</w:t>
      </w:r>
      <w:r>
        <w:rPr>
          <w:rFonts w:eastAsia="仿宋"/>
          <w:sz w:val="24"/>
        </w:rPr>
        <w:t>件，第四次出现在</w:t>
      </w:r>
      <w:r>
        <w:rPr>
          <w:rFonts w:eastAsia="仿宋"/>
          <w:sz w:val="24"/>
        </w:rPr>
        <w:t>2020</w:t>
      </w:r>
      <w:r>
        <w:rPr>
          <w:rFonts w:eastAsia="仿宋"/>
          <w:sz w:val="24"/>
        </w:rPr>
        <w:t>年的</w:t>
      </w:r>
      <w:r>
        <w:rPr>
          <w:rFonts w:eastAsia="仿宋"/>
          <w:sz w:val="24"/>
        </w:rPr>
        <w:t>18</w:t>
      </w:r>
      <w:r>
        <w:rPr>
          <w:rFonts w:eastAsia="仿宋"/>
          <w:sz w:val="24"/>
        </w:rPr>
        <w:t>件，可以看出在</w:t>
      </w:r>
      <w:r>
        <w:rPr>
          <w:rFonts w:eastAsia="仿宋"/>
          <w:sz w:val="24"/>
        </w:rPr>
        <w:t>OLED</w:t>
      </w:r>
      <w:r>
        <w:rPr>
          <w:rFonts w:eastAsia="仿宋"/>
          <w:sz w:val="24"/>
        </w:rPr>
        <w:lastRenderedPageBreak/>
        <w:t>发光材料产业相关专利中存在较多专利许可事件，并且说明这些专利存在一定的技术参考价值或者商业价值。</w:t>
      </w:r>
    </w:p>
    <w:p w:rsidR="00000000" w:rsidRDefault="000A495B">
      <w:pPr>
        <w:jc w:val="center"/>
        <w:rPr>
          <w:rFonts w:eastAsia="仿宋"/>
          <w:b/>
          <w:bCs/>
          <w:sz w:val="30"/>
          <w:szCs w:val="30"/>
        </w:rPr>
      </w:pPr>
      <w:r>
        <w:rPr>
          <w:noProof/>
        </w:rPr>
        <w:drawing>
          <wp:inline distT="0" distB="0" distL="0" distR="0">
            <wp:extent cx="5610225" cy="2486025"/>
            <wp:effectExtent l="0" t="0" r="0" b="0"/>
            <wp:docPr id="2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2486025"/>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3-3-8 </w:t>
      </w:r>
      <w:r>
        <w:rPr>
          <w:rFonts w:eastAsia="仿宋" w:cs="Times New Roman" w:hint="eastAsia"/>
          <w:sz w:val="24"/>
          <w:szCs w:val="24"/>
        </w:rPr>
        <w:t xml:space="preserve"> OLED</w:t>
      </w:r>
      <w:r>
        <w:rPr>
          <w:rFonts w:eastAsia="仿宋" w:cs="Times New Roman" w:hint="eastAsia"/>
          <w:sz w:val="24"/>
          <w:szCs w:val="24"/>
        </w:rPr>
        <w:t>发光材料产业</w:t>
      </w:r>
      <w:r>
        <w:rPr>
          <w:rFonts w:eastAsia="仿宋" w:cs="Times New Roman"/>
          <w:sz w:val="24"/>
          <w:szCs w:val="24"/>
        </w:rPr>
        <w:t>专利许可交易趋势</w:t>
      </w:r>
    </w:p>
    <w:p w:rsidR="00000000" w:rsidRDefault="00000000">
      <w:pPr>
        <w:widowControl/>
        <w:spacing w:line="440" w:lineRule="exact"/>
        <w:ind w:firstLineChars="200" w:firstLine="480"/>
        <w:jc w:val="left"/>
        <w:rPr>
          <w:rFonts w:eastAsia="仿宋"/>
          <w:sz w:val="24"/>
        </w:rPr>
      </w:pPr>
      <w:r>
        <w:rPr>
          <w:rFonts w:eastAsia="仿宋"/>
          <w:sz w:val="24"/>
        </w:rPr>
        <w:t>2</w:t>
      </w:r>
      <w:r>
        <w:rPr>
          <w:rFonts w:eastAsia="仿宋"/>
          <w:sz w:val="24"/>
        </w:rPr>
        <w:t>）专利诉讼趋势</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3-3-9</w:t>
      </w:r>
      <w:r>
        <w:rPr>
          <w:rFonts w:eastAsia="仿宋"/>
          <w:sz w:val="24"/>
        </w:rPr>
        <w:t>给出了</w:t>
      </w:r>
      <w:r>
        <w:rPr>
          <w:rFonts w:eastAsia="仿宋"/>
          <w:sz w:val="24"/>
        </w:rPr>
        <w:t>OLED</w:t>
      </w:r>
      <w:r>
        <w:rPr>
          <w:rFonts w:eastAsia="仿宋"/>
          <w:sz w:val="24"/>
        </w:rPr>
        <w:t>发光材料产业近</w:t>
      </w:r>
      <w:r>
        <w:rPr>
          <w:rFonts w:eastAsia="仿宋"/>
          <w:sz w:val="24"/>
        </w:rPr>
        <w:t>20</w:t>
      </w:r>
      <w:r>
        <w:rPr>
          <w:rFonts w:eastAsia="仿宋"/>
          <w:sz w:val="24"/>
        </w:rPr>
        <w:t>年的专利诉讼情况，从图中可以看出，整体上，</w:t>
      </w:r>
      <w:r>
        <w:rPr>
          <w:rFonts w:eastAsia="仿宋"/>
          <w:sz w:val="24"/>
        </w:rPr>
        <w:t>OLED</w:t>
      </w:r>
      <w:r>
        <w:rPr>
          <w:rFonts w:eastAsia="仿宋"/>
          <w:sz w:val="24"/>
        </w:rPr>
        <w:t>发光材料产业涉及到的诉讼案件不多，均在</w:t>
      </w:r>
      <w:r>
        <w:rPr>
          <w:rFonts w:eastAsia="仿宋"/>
          <w:sz w:val="24"/>
        </w:rPr>
        <w:t>10</w:t>
      </w:r>
      <w:r>
        <w:rPr>
          <w:rFonts w:eastAsia="仿宋"/>
          <w:sz w:val="24"/>
        </w:rPr>
        <w:t>件以内，但是呈现波动态势，可以看出在</w:t>
      </w:r>
      <w:r>
        <w:rPr>
          <w:rFonts w:eastAsia="仿宋"/>
          <w:sz w:val="24"/>
        </w:rPr>
        <w:t>OLED</w:t>
      </w:r>
      <w:r>
        <w:rPr>
          <w:rFonts w:eastAsia="仿宋"/>
          <w:sz w:val="24"/>
        </w:rPr>
        <w:t>发光材料产业相关专利中存在一定数量的诉讼情况，以此可以判断进入</w:t>
      </w:r>
      <w:r>
        <w:rPr>
          <w:rFonts w:eastAsia="仿宋"/>
          <w:sz w:val="24"/>
        </w:rPr>
        <w:t>OLED</w:t>
      </w:r>
      <w:r>
        <w:rPr>
          <w:rFonts w:eastAsia="仿宋"/>
          <w:sz w:val="24"/>
        </w:rPr>
        <w:t>发光材料产业的风险等级。</w:t>
      </w:r>
    </w:p>
    <w:p w:rsidR="00000000" w:rsidRDefault="000A495B">
      <w:pPr>
        <w:jc w:val="center"/>
        <w:rPr>
          <w:rFonts w:eastAsia="仿宋"/>
          <w:b/>
          <w:bCs/>
          <w:sz w:val="30"/>
          <w:szCs w:val="30"/>
        </w:rPr>
      </w:pPr>
      <w:r>
        <w:rPr>
          <w:noProof/>
        </w:rPr>
        <w:drawing>
          <wp:inline distT="0" distB="0" distL="0" distR="0">
            <wp:extent cx="5619750" cy="2324100"/>
            <wp:effectExtent l="0" t="0" r="0" b="0"/>
            <wp:docPr id="24"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9750" cy="2324100"/>
                    </a:xfrm>
                    <a:prstGeom prst="rect">
                      <a:avLst/>
                    </a:prstGeom>
                    <a:noFill/>
                    <a:ln>
                      <a:noFill/>
                    </a:ln>
                  </pic:spPr>
                </pic:pic>
              </a:graphicData>
            </a:graphic>
          </wp:inline>
        </w:drawing>
      </w:r>
    </w:p>
    <w:p w:rsidR="00000000" w:rsidRDefault="00000000">
      <w:pPr>
        <w:pStyle w:val="afd"/>
        <w:rPr>
          <w:rFonts w:eastAsia="仿宋" w:cs="Times New Roman"/>
          <w:sz w:val="24"/>
          <w:szCs w:val="24"/>
        </w:rPr>
      </w:pPr>
      <w:r>
        <w:rPr>
          <w:rFonts w:eastAsia="仿宋" w:cs="Times New Roman"/>
          <w:sz w:val="24"/>
          <w:szCs w:val="24"/>
        </w:rPr>
        <w:t>图</w:t>
      </w:r>
      <w:r>
        <w:rPr>
          <w:rFonts w:eastAsia="仿宋" w:cs="Times New Roman"/>
          <w:sz w:val="24"/>
          <w:szCs w:val="24"/>
        </w:rPr>
        <w:t xml:space="preserve">3-3-9 </w:t>
      </w:r>
      <w:r>
        <w:rPr>
          <w:rFonts w:eastAsia="仿宋" w:cs="Times New Roman" w:hint="eastAsia"/>
          <w:sz w:val="24"/>
          <w:szCs w:val="24"/>
        </w:rPr>
        <w:t>OLED</w:t>
      </w:r>
      <w:r>
        <w:rPr>
          <w:rFonts w:eastAsia="仿宋" w:cs="Times New Roman" w:hint="eastAsia"/>
          <w:sz w:val="24"/>
          <w:szCs w:val="24"/>
        </w:rPr>
        <w:t>发光材料产业</w:t>
      </w:r>
      <w:r>
        <w:rPr>
          <w:rFonts w:eastAsia="仿宋" w:cs="Times New Roman"/>
          <w:sz w:val="24"/>
          <w:szCs w:val="24"/>
        </w:rPr>
        <w:t>专利诉讼趋势</w:t>
      </w:r>
    </w:p>
    <w:p w:rsidR="00000000" w:rsidRDefault="00000000">
      <w:pPr>
        <w:pStyle w:val="3"/>
        <w:spacing w:beforeLines="50" w:before="156" w:afterLines="50" w:after="156" w:line="440" w:lineRule="exact"/>
        <w:rPr>
          <w:rFonts w:eastAsia="楷体"/>
          <w:sz w:val="28"/>
        </w:rPr>
      </w:pPr>
      <w:bookmarkStart w:id="391" w:name="_Toc7256"/>
      <w:bookmarkStart w:id="392" w:name="_Toc11915"/>
      <w:bookmarkStart w:id="393" w:name="_Toc133415929"/>
      <w:bookmarkStart w:id="394" w:name="_Toc2229"/>
      <w:bookmarkStart w:id="395" w:name="_Toc2910"/>
      <w:bookmarkStart w:id="396" w:name="_Toc27661"/>
      <w:bookmarkStart w:id="397" w:name="_Toc31476"/>
      <w:bookmarkStart w:id="398" w:name="_Toc31137"/>
      <w:r>
        <w:rPr>
          <w:rFonts w:eastAsia="楷体"/>
          <w:sz w:val="28"/>
        </w:rPr>
        <w:t>3.3.7 OLED</w:t>
      </w:r>
      <w:r>
        <w:rPr>
          <w:rFonts w:eastAsia="楷体"/>
          <w:sz w:val="28"/>
        </w:rPr>
        <w:t>发光材料产业发展方向基本结论</w:t>
      </w:r>
      <w:bookmarkEnd w:id="391"/>
      <w:bookmarkEnd w:id="392"/>
      <w:bookmarkEnd w:id="393"/>
      <w:bookmarkEnd w:id="394"/>
      <w:bookmarkEnd w:id="395"/>
      <w:bookmarkEnd w:id="396"/>
      <w:bookmarkEnd w:id="397"/>
      <w:bookmarkEnd w:id="398"/>
    </w:p>
    <w:p w:rsidR="00000000" w:rsidRDefault="00000000">
      <w:pPr>
        <w:widowControl/>
        <w:spacing w:line="440" w:lineRule="exact"/>
        <w:ind w:firstLineChars="200" w:firstLine="480"/>
        <w:jc w:val="left"/>
        <w:rPr>
          <w:rFonts w:eastAsia="仿宋"/>
          <w:sz w:val="24"/>
        </w:rPr>
      </w:pPr>
      <w:r>
        <w:rPr>
          <w:rFonts w:eastAsia="仿宋"/>
          <w:sz w:val="24"/>
        </w:rPr>
        <w:t>通过上述数据分析可见，</w:t>
      </w:r>
      <w:r>
        <w:rPr>
          <w:rFonts w:eastAsia="仿宋"/>
          <w:sz w:val="24"/>
        </w:rPr>
        <w:t>OLED</w:t>
      </w:r>
      <w:r>
        <w:rPr>
          <w:rFonts w:eastAsia="仿宋"/>
          <w:sz w:val="24"/>
        </w:rPr>
        <w:t>发光材料产业的专利布局与产业技术发展如影随形，专利控制力已经成为</w:t>
      </w:r>
      <w:r>
        <w:rPr>
          <w:rFonts w:eastAsia="仿宋"/>
          <w:sz w:val="24"/>
        </w:rPr>
        <w:t>OLED</w:t>
      </w:r>
      <w:r>
        <w:rPr>
          <w:rFonts w:eastAsia="仿宋"/>
          <w:sz w:val="24"/>
        </w:rPr>
        <w:t>发光材料产业竞争力提升的关键因素，具有专利控制力的国</w:t>
      </w:r>
      <w:r>
        <w:rPr>
          <w:rFonts w:eastAsia="仿宋"/>
          <w:sz w:val="24"/>
        </w:rPr>
        <w:lastRenderedPageBreak/>
        <w:t>家和龙头企业的专利布局趋势揭示了</w:t>
      </w:r>
      <w:r>
        <w:rPr>
          <w:rFonts w:eastAsia="仿宋"/>
          <w:sz w:val="24"/>
        </w:rPr>
        <w:t>OLED</w:t>
      </w:r>
      <w:r>
        <w:rPr>
          <w:rFonts w:eastAsia="仿宋"/>
          <w:sz w:val="24"/>
        </w:rPr>
        <w:t>发光材料产业技术发展的基本方向。具体为：</w:t>
      </w:r>
    </w:p>
    <w:p w:rsidR="00000000" w:rsidRDefault="00000000">
      <w:pPr>
        <w:widowControl/>
        <w:spacing w:line="440" w:lineRule="exact"/>
        <w:ind w:firstLineChars="200" w:firstLine="480"/>
        <w:jc w:val="left"/>
        <w:rPr>
          <w:rFonts w:eastAsia="仿宋"/>
          <w:sz w:val="24"/>
        </w:rPr>
      </w:pPr>
      <w:r>
        <w:rPr>
          <w:rFonts w:eastAsia="仿宋"/>
          <w:sz w:val="24"/>
        </w:rPr>
        <w:t>1</w:t>
      </w:r>
      <w:r>
        <w:rPr>
          <w:rFonts w:eastAsia="仿宋"/>
          <w:sz w:val="24"/>
        </w:rPr>
        <w:t>）</w:t>
      </w:r>
      <w:r>
        <w:rPr>
          <w:rFonts w:eastAsia="仿宋"/>
          <w:sz w:val="24"/>
        </w:rPr>
        <w:t>1999</w:t>
      </w:r>
      <w:r>
        <w:rPr>
          <w:rFonts w:eastAsia="仿宋"/>
          <w:sz w:val="24"/>
        </w:rPr>
        <w:t>年以后，</w:t>
      </w:r>
      <w:r>
        <w:rPr>
          <w:rFonts w:eastAsia="仿宋"/>
          <w:sz w:val="24"/>
        </w:rPr>
        <w:t>OLED</w:t>
      </w:r>
      <w:r>
        <w:rPr>
          <w:rFonts w:eastAsia="仿宋"/>
          <w:sz w:val="24"/>
        </w:rPr>
        <w:t>发光材料产业各技术分支呈现快速增长的趋势，其中发光层领域，增式较为明显，申请量较大，是热点研究的领域分支。</w:t>
      </w:r>
    </w:p>
    <w:p w:rsidR="00000000" w:rsidRDefault="00000000">
      <w:pPr>
        <w:widowControl/>
        <w:spacing w:line="440" w:lineRule="exact"/>
        <w:ind w:firstLineChars="200" w:firstLine="480"/>
        <w:jc w:val="left"/>
        <w:rPr>
          <w:rFonts w:eastAsia="仿宋"/>
          <w:sz w:val="24"/>
        </w:rPr>
      </w:pPr>
      <w:r>
        <w:rPr>
          <w:rFonts w:eastAsia="仿宋"/>
          <w:sz w:val="24"/>
        </w:rPr>
        <w:t>2</w:t>
      </w:r>
      <w:r>
        <w:rPr>
          <w:rFonts w:eastAsia="仿宋"/>
          <w:sz w:val="24"/>
        </w:rPr>
        <w:t>）中国是技术来源国和目标市场国中专利数量最多的国家，近几年呈现快速增长的趋势，但是在其他国家的布局数量较少。</w:t>
      </w:r>
    </w:p>
    <w:p w:rsidR="00000000" w:rsidRDefault="00000000">
      <w:pPr>
        <w:widowControl/>
        <w:spacing w:line="440" w:lineRule="exact"/>
        <w:ind w:firstLineChars="200" w:firstLine="480"/>
        <w:jc w:val="left"/>
        <w:rPr>
          <w:rFonts w:eastAsia="仿宋"/>
          <w:sz w:val="24"/>
        </w:rPr>
      </w:pPr>
      <w:r>
        <w:rPr>
          <w:rFonts w:eastAsia="仿宋"/>
          <w:sz w:val="24"/>
        </w:rPr>
        <w:t>3</w:t>
      </w:r>
      <w:r>
        <w:rPr>
          <w:rFonts w:eastAsia="仿宋"/>
          <w:sz w:val="24"/>
        </w:rPr>
        <w:t>）排名前十的申请人中，大多数都是国外企业，中国申请人排名前十的也有部分国外企业，可以看出，中国专利集中度差，市场丰富，国外申请人在中国专利布局意识较强。</w:t>
      </w:r>
    </w:p>
    <w:p w:rsidR="00000000" w:rsidRDefault="00000000">
      <w:pPr>
        <w:ind w:firstLineChars="200" w:firstLine="560"/>
        <w:rPr>
          <w:rFonts w:eastAsia="仿宋"/>
          <w:sz w:val="28"/>
          <w:szCs w:val="28"/>
        </w:rPr>
      </w:pPr>
    </w:p>
    <w:p w:rsidR="00000000" w:rsidRDefault="00000000">
      <w:pPr>
        <w:ind w:firstLineChars="200" w:firstLine="560"/>
        <w:rPr>
          <w:rFonts w:eastAsia="仿宋"/>
          <w:sz w:val="28"/>
          <w:szCs w:val="28"/>
        </w:rPr>
      </w:pPr>
    </w:p>
    <w:p w:rsidR="00000000" w:rsidRDefault="00000000">
      <w:pPr>
        <w:ind w:firstLineChars="200" w:firstLine="560"/>
        <w:rPr>
          <w:rFonts w:eastAsia="仿宋"/>
          <w:sz w:val="28"/>
          <w:szCs w:val="28"/>
        </w:rPr>
        <w:sectPr w:rsidR="00000000">
          <w:footerReference w:type="default" r:id="rId38"/>
          <w:pgSz w:w="11906" w:h="16838"/>
          <w:pgMar w:top="1417" w:right="1417" w:bottom="1417" w:left="1417" w:header="851" w:footer="992" w:gutter="0"/>
          <w:pgBorders>
            <w:top w:val="none" w:sz="0" w:space="1" w:color="auto"/>
            <w:left w:val="none" w:sz="0" w:space="4" w:color="auto"/>
            <w:bottom w:val="none" w:sz="0" w:space="1" w:color="auto"/>
            <w:right w:val="none" w:sz="0" w:space="4" w:color="auto"/>
          </w:pgBorders>
          <w:cols w:space="720"/>
          <w:docGrid w:type="lines" w:linePitch="312"/>
        </w:sectPr>
      </w:pPr>
    </w:p>
    <w:p w:rsidR="00000000" w:rsidRDefault="00000000">
      <w:pPr>
        <w:pStyle w:val="1"/>
        <w:spacing w:beforeLines="0" w:before="312" w:after="312"/>
        <w:rPr>
          <w:sz w:val="32"/>
          <w:szCs w:val="32"/>
        </w:rPr>
      </w:pPr>
      <w:bookmarkStart w:id="399" w:name="_Toc345"/>
      <w:bookmarkStart w:id="400" w:name="_Toc3614"/>
      <w:bookmarkStart w:id="401" w:name="_Toc14816"/>
      <w:bookmarkStart w:id="402" w:name="_Toc21196"/>
      <w:bookmarkStart w:id="403" w:name="_Toc4468"/>
      <w:bookmarkStart w:id="404" w:name="_Toc28791"/>
      <w:r>
        <w:rPr>
          <w:sz w:val="32"/>
          <w:szCs w:val="32"/>
        </w:rPr>
        <w:lastRenderedPageBreak/>
        <w:t>第</w:t>
      </w:r>
      <w:r>
        <w:rPr>
          <w:rFonts w:hint="eastAsia"/>
          <w:sz w:val="32"/>
          <w:szCs w:val="32"/>
        </w:rPr>
        <w:t>四</w:t>
      </w:r>
      <w:r>
        <w:rPr>
          <w:sz w:val="32"/>
          <w:szCs w:val="32"/>
        </w:rPr>
        <w:t>章</w:t>
      </w:r>
      <w:r>
        <w:rPr>
          <w:sz w:val="32"/>
          <w:szCs w:val="32"/>
        </w:rPr>
        <w:t xml:space="preserve"> </w:t>
      </w:r>
      <w:r>
        <w:rPr>
          <w:rFonts w:hint="eastAsia"/>
          <w:sz w:val="32"/>
          <w:szCs w:val="32"/>
        </w:rPr>
        <w:t>吉林省</w:t>
      </w:r>
      <w:r>
        <w:rPr>
          <w:sz w:val="32"/>
          <w:szCs w:val="32"/>
        </w:rPr>
        <w:t>OLED</w:t>
      </w:r>
      <w:r>
        <w:rPr>
          <w:sz w:val="32"/>
          <w:szCs w:val="32"/>
        </w:rPr>
        <w:t>发光材料产业发展定位分析</w:t>
      </w:r>
      <w:bookmarkEnd w:id="247"/>
      <w:bookmarkEnd w:id="257"/>
      <w:bookmarkEnd w:id="258"/>
      <w:bookmarkEnd w:id="259"/>
      <w:bookmarkEnd w:id="399"/>
      <w:bookmarkEnd w:id="400"/>
      <w:bookmarkEnd w:id="401"/>
      <w:bookmarkEnd w:id="402"/>
      <w:bookmarkEnd w:id="403"/>
      <w:bookmarkEnd w:id="404"/>
    </w:p>
    <w:p w:rsidR="00000000" w:rsidRDefault="00000000">
      <w:pPr>
        <w:widowControl/>
        <w:spacing w:line="440" w:lineRule="exact"/>
        <w:ind w:firstLineChars="200" w:firstLine="480"/>
        <w:jc w:val="left"/>
        <w:rPr>
          <w:rFonts w:eastAsia="仿宋"/>
          <w:sz w:val="24"/>
        </w:rPr>
      </w:pPr>
      <w:r>
        <w:rPr>
          <w:rFonts w:eastAsia="仿宋"/>
          <w:sz w:val="24"/>
        </w:rPr>
        <w:t>在之前的章节中，我们全面探索了</w:t>
      </w:r>
      <w:r>
        <w:rPr>
          <w:rFonts w:eastAsia="仿宋"/>
          <w:sz w:val="24"/>
        </w:rPr>
        <w:t>OLED</w:t>
      </w:r>
      <w:r>
        <w:rPr>
          <w:rFonts w:eastAsia="仿宋"/>
          <w:sz w:val="24"/>
        </w:rPr>
        <w:t>发光材料产业中的专利信息。通过对专利数据的深入分析，我们洞察了</w:t>
      </w:r>
      <w:r>
        <w:rPr>
          <w:rFonts w:eastAsia="仿宋"/>
          <w:sz w:val="24"/>
        </w:rPr>
        <w:t>OLED</w:t>
      </w:r>
      <w:r>
        <w:rPr>
          <w:rFonts w:eastAsia="仿宋"/>
          <w:sz w:val="24"/>
        </w:rPr>
        <w:t>发光材料产业的技术发展状况、全球竞争态势、行业技术热点以及行业领先企业的研发焦点。同时，我们也对新进入产业的企业技术实力、高校与科研院所的研发方向进行了细致研究，挖掘了核心专利的分布情况，并预测了行业技术的发展趋势。</w:t>
      </w:r>
    </w:p>
    <w:p w:rsidR="00000000" w:rsidRDefault="00000000">
      <w:pPr>
        <w:widowControl/>
        <w:spacing w:line="440" w:lineRule="exact"/>
        <w:ind w:firstLineChars="200" w:firstLine="480"/>
        <w:jc w:val="left"/>
        <w:rPr>
          <w:rFonts w:eastAsia="仿宋"/>
          <w:sz w:val="24"/>
        </w:rPr>
      </w:pPr>
      <w:r>
        <w:rPr>
          <w:rFonts w:eastAsia="仿宋"/>
          <w:sz w:val="24"/>
        </w:rPr>
        <w:t>这些分析不仅为我们提供了全球及中国</w:t>
      </w:r>
      <w:r>
        <w:rPr>
          <w:rFonts w:eastAsia="仿宋"/>
          <w:sz w:val="24"/>
        </w:rPr>
        <w:t>OLED</w:t>
      </w:r>
      <w:r>
        <w:rPr>
          <w:rFonts w:eastAsia="仿宋"/>
          <w:sz w:val="24"/>
        </w:rPr>
        <w:t>发光材料产业技术的宏观认识，也为我们理解吉林省在</w:t>
      </w:r>
      <w:r>
        <w:rPr>
          <w:rFonts w:eastAsia="仿宋"/>
          <w:sz w:val="24"/>
        </w:rPr>
        <w:t>OLED</w:t>
      </w:r>
      <w:r>
        <w:rPr>
          <w:rFonts w:eastAsia="仿宋"/>
          <w:sz w:val="24"/>
        </w:rPr>
        <w:t>发光材料产业的定位和潜力打下了坚实基础。接下来，我们将进一步深入分析吉林省的</w:t>
      </w:r>
      <w:r>
        <w:rPr>
          <w:rFonts w:eastAsia="仿宋"/>
          <w:sz w:val="24"/>
        </w:rPr>
        <w:t>OLED</w:t>
      </w:r>
      <w:r>
        <w:rPr>
          <w:rFonts w:eastAsia="仿宋"/>
          <w:sz w:val="24"/>
        </w:rPr>
        <w:t>发光材料产业专利信息，以更具体的数据和案例来揭示吉林省的</w:t>
      </w:r>
      <w:r>
        <w:rPr>
          <w:rFonts w:eastAsia="仿宋"/>
          <w:sz w:val="24"/>
        </w:rPr>
        <w:t>OLED</w:t>
      </w:r>
      <w:r>
        <w:rPr>
          <w:rFonts w:eastAsia="仿宋"/>
          <w:sz w:val="24"/>
        </w:rPr>
        <w:t>发光材料产业优势、技术瓶颈以及未来发展方向，并给出产业导航建议。</w:t>
      </w:r>
    </w:p>
    <w:p w:rsidR="00000000" w:rsidRDefault="00000000">
      <w:pPr>
        <w:pStyle w:val="2"/>
        <w:spacing w:before="156" w:after="156"/>
        <w:jc w:val="both"/>
        <w:rPr>
          <w:rFonts w:eastAsia="宋体"/>
          <w:szCs w:val="28"/>
        </w:rPr>
      </w:pPr>
      <w:bookmarkStart w:id="405" w:name="_Toc17056"/>
      <w:bookmarkStart w:id="406" w:name="_Toc18652"/>
      <w:bookmarkStart w:id="407" w:name="_Toc3731"/>
      <w:bookmarkStart w:id="408" w:name="_Toc10239"/>
      <w:bookmarkStart w:id="409" w:name="_Toc6058"/>
      <w:bookmarkStart w:id="410" w:name="_Toc8626"/>
      <w:bookmarkStart w:id="411" w:name="_Toc3242"/>
      <w:bookmarkStart w:id="412" w:name="_Toc10220"/>
      <w:bookmarkStart w:id="413" w:name="_Toc13774"/>
      <w:bookmarkStart w:id="414" w:name="_Toc29785"/>
      <w:bookmarkStart w:id="415" w:name="_Toc28318"/>
      <w:bookmarkStart w:id="416" w:name="_Toc442"/>
      <w:bookmarkStart w:id="417" w:name="_Toc81317119"/>
      <w:r>
        <w:rPr>
          <w:rFonts w:eastAsia="宋体"/>
          <w:szCs w:val="28"/>
        </w:rPr>
        <w:t>4.1</w:t>
      </w:r>
      <w:r>
        <w:rPr>
          <w:rFonts w:eastAsia="宋体"/>
          <w:szCs w:val="28"/>
        </w:rPr>
        <w:t>吉林省</w:t>
      </w:r>
      <w:r>
        <w:rPr>
          <w:rFonts w:eastAsia="宋体"/>
          <w:szCs w:val="28"/>
        </w:rPr>
        <w:t>OLED</w:t>
      </w:r>
      <w:r>
        <w:rPr>
          <w:rFonts w:eastAsia="宋体"/>
          <w:szCs w:val="28"/>
        </w:rPr>
        <w:t>发光材料产业结构分析</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000000" w:rsidRDefault="00000000">
      <w:pPr>
        <w:pStyle w:val="3"/>
        <w:spacing w:beforeLines="50" w:before="156" w:afterLines="50" w:after="156" w:line="440" w:lineRule="exact"/>
        <w:rPr>
          <w:rFonts w:eastAsia="楷体"/>
          <w:sz w:val="28"/>
        </w:rPr>
      </w:pPr>
      <w:bookmarkStart w:id="418" w:name="_Toc7699"/>
      <w:bookmarkStart w:id="419" w:name="_Toc32445"/>
      <w:bookmarkStart w:id="420" w:name="_Toc20329"/>
      <w:bookmarkStart w:id="421" w:name="_Toc2509"/>
      <w:bookmarkStart w:id="422" w:name="_Toc6601"/>
      <w:bookmarkStart w:id="423" w:name="_Toc25789"/>
      <w:bookmarkStart w:id="424" w:name="_Toc21474"/>
      <w:bookmarkStart w:id="425" w:name="_Toc9735"/>
      <w:bookmarkStart w:id="426" w:name="_Toc81317120"/>
      <w:bookmarkStart w:id="427" w:name="_Toc9188"/>
      <w:bookmarkStart w:id="428" w:name="_Toc5323"/>
      <w:bookmarkStart w:id="429" w:name="_Toc5274"/>
      <w:bookmarkStart w:id="430" w:name="_Toc4995"/>
      <w:r>
        <w:rPr>
          <w:rFonts w:eastAsia="楷体"/>
          <w:sz w:val="28"/>
        </w:rPr>
        <w:t>4.1.1</w:t>
      </w:r>
      <w:r>
        <w:rPr>
          <w:rFonts w:eastAsia="楷体"/>
          <w:sz w:val="28"/>
        </w:rPr>
        <w:t>吉林省</w:t>
      </w:r>
      <w:r>
        <w:rPr>
          <w:rFonts w:eastAsia="楷体"/>
          <w:sz w:val="28"/>
        </w:rPr>
        <w:t>OLED</w:t>
      </w:r>
      <w:r>
        <w:rPr>
          <w:rFonts w:eastAsia="楷体"/>
          <w:sz w:val="28"/>
        </w:rPr>
        <w:t>发光材料产业专利整体概况</w:t>
      </w:r>
      <w:bookmarkEnd w:id="418"/>
      <w:bookmarkEnd w:id="419"/>
      <w:bookmarkEnd w:id="420"/>
      <w:bookmarkEnd w:id="421"/>
      <w:bookmarkEnd w:id="422"/>
      <w:bookmarkEnd w:id="423"/>
      <w:bookmarkEnd w:id="424"/>
      <w:bookmarkEnd w:id="425"/>
      <w:bookmarkEnd w:id="426"/>
      <w:bookmarkEnd w:id="427"/>
      <w:bookmarkEnd w:id="428"/>
      <w:bookmarkEnd w:id="429"/>
      <w:bookmarkEnd w:id="430"/>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.1.1.1</w:t>
      </w:r>
      <w:r>
        <w:rPr>
          <w:rFonts w:eastAsia="仿宋"/>
          <w:sz w:val="28"/>
          <w:szCs w:val="28"/>
        </w:rPr>
        <w:t>专利申请授权趋势</w:t>
      </w:r>
    </w:p>
    <w:p w:rsidR="00000000" w:rsidRDefault="00000000">
      <w:pPr>
        <w:widowControl/>
        <w:spacing w:line="440" w:lineRule="exact"/>
        <w:ind w:firstLineChars="200" w:firstLine="480"/>
        <w:jc w:val="left"/>
        <w:rPr>
          <w:rFonts w:eastAsia="仿宋"/>
          <w:sz w:val="28"/>
          <w:szCs w:val="28"/>
        </w:rPr>
      </w:pPr>
      <w:r>
        <w:rPr>
          <w:rFonts w:eastAsia="仿宋"/>
          <w:sz w:val="24"/>
        </w:rPr>
        <w:t>图</w:t>
      </w:r>
      <w:r>
        <w:rPr>
          <w:rFonts w:eastAsia="仿宋"/>
          <w:sz w:val="24"/>
        </w:rPr>
        <w:t>4-1-1</w:t>
      </w:r>
      <w:r>
        <w:rPr>
          <w:rFonts w:eastAsia="仿宋"/>
          <w:sz w:val="24"/>
        </w:rPr>
        <w:t>所示，显示了吉林省</w:t>
      </w:r>
      <w:r>
        <w:rPr>
          <w:rFonts w:eastAsia="仿宋"/>
          <w:sz w:val="24"/>
        </w:rPr>
        <w:t>OLED</w:t>
      </w:r>
      <w:r>
        <w:rPr>
          <w:rFonts w:eastAsia="仿宋"/>
          <w:sz w:val="24"/>
        </w:rPr>
        <w:t>发光材料领域专利申请</w:t>
      </w:r>
      <w:r>
        <w:rPr>
          <w:rFonts w:eastAsia="仿宋"/>
          <w:sz w:val="24"/>
        </w:rPr>
        <w:t>/</w:t>
      </w:r>
      <w:r>
        <w:rPr>
          <w:rFonts w:eastAsia="仿宋"/>
          <w:sz w:val="24"/>
        </w:rPr>
        <w:t>授权趋势。图中可以看出，吉林省在</w:t>
      </w:r>
      <w:r>
        <w:rPr>
          <w:rFonts w:eastAsia="仿宋"/>
          <w:sz w:val="24"/>
        </w:rPr>
        <w:t>OLED</w:t>
      </w:r>
      <w:r>
        <w:rPr>
          <w:rFonts w:eastAsia="仿宋"/>
          <w:sz w:val="24"/>
        </w:rPr>
        <w:t>发光材料领域的申请量整体起步相对较晚，在</w:t>
      </w:r>
      <w:r>
        <w:rPr>
          <w:rFonts w:eastAsia="仿宋"/>
          <w:sz w:val="24"/>
        </w:rPr>
        <w:t>2016</w:t>
      </w:r>
      <w:r>
        <w:rPr>
          <w:rFonts w:eastAsia="仿宋"/>
          <w:sz w:val="24"/>
        </w:rPr>
        <w:t>年之前申请数量较少，申请量基本在</w:t>
      </w:r>
      <w:r>
        <w:rPr>
          <w:rFonts w:eastAsia="仿宋"/>
          <w:sz w:val="24"/>
        </w:rPr>
        <w:t>15</w:t>
      </w:r>
      <w:r>
        <w:rPr>
          <w:rFonts w:eastAsia="仿宋"/>
          <w:sz w:val="24"/>
        </w:rPr>
        <w:t>件之内，从</w:t>
      </w:r>
      <w:r>
        <w:rPr>
          <w:rFonts w:eastAsia="仿宋"/>
          <w:sz w:val="24"/>
        </w:rPr>
        <w:t>2016</w:t>
      </w:r>
      <w:r>
        <w:rPr>
          <w:rFonts w:eastAsia="仿宋"/>
          <w:sz w:val="24"/>
        </w:rPr>
        <w:t>年开始专利申请有所提高，但是整体趋势处于波动状态，申请量最多出现在</w:t>
      </w:r>
      <w:r>
        <w:rPr>
          <w:rFonts w:eastAsia="仿宋"/>
          <w:sz w:val="24"/>
        </w:rPr>
        <w:t>2018</w:t>
      </w:r>
      <w:r>
        <w:rPr>
          <w:rFonts w:eastAsia="仿宋"/>
          <w:sz w:val="24"/>
        </w:rPr>
        <w:t>年的</w:t>
      </w:r>
      <w:r>
        <w:rPr>
          <w:rFonts w:eastAsia="仿宋"/>
          <w:sz w:val="24"/>
        </w:rPr>
        <w:t>212</w:t>
      </w:r>
      <w:r>
        <w:rPr>
          <w:rFonts w:eastAsia="仿宋"/>
          <w:sz w:val="24"/>
        </w:rPr>
        <w:t>件，</w:t>
      </w:r>
      <w:r>
        <w:rPr>
          <w:rFonts w:eastAsia="仿宋"/>
          <w:sz w:val="24"/>
        </w:rPr>
        <w:t>2018</w:t>
      </w:r>
      <w:r>
        <w:rPr>
          <w:rFonts w:eastAsia="仿宋"/>
          <w:sz w:val="24"/>
        </w:rPr>
        <w:t>年之后申请量处于</w:t>
      </w:r>
      <w:r>
        <w:rPr>
          <w:rFonts w:eastAsia="仿宋"/>
          <w:sz w:val="24"/>
        </w:rPr>
        <w:t>45-80</w:t>
      </w:r>
      <w:r>
        <w:rPr>
          <w:rFonts w:eastAsia="仿宋"/>
          <w:sz w:val="24"/>
        </w:rPr>
        <w:t>件之间，整体申请趋势较为平缓。说明吉林省在</w:t>
      </w:r>
      <w:r>
        <w:rPr>
          <w:rFonts w:eastAsia="仿宋"/>
          <w:sz w:val="24"/>
        </w:rPr>
        <w:t>OLED</w:t>
      </w:r>
      <w:r>
        <w:rPr>
          <w:rFonts w:eastAsia="仿宋"/>
          <w:sz w:val="24"/>
        </w:rPr>
        <w:t>发光材料领域的创新活跃度不高。</w:t>
      </w:r>
    </w:p>
    <w:p w:rsidR="00000000" w:rsidRDefault="000A495B">
      <w:r>
        <w:rPr>
          <w:noProof/>
        </w:rPr>
        <w:drawing>
          <wp:inline distT="0" distB="0" distL="0" distR="0">
            <wp:extent cx="5610225" cy="2228850"/>
            <wp:effectExtent l="0" t="0" r="0" b="0"/>
            <wp:docPr id="25"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inline>
        </w:drawing>
      </w:r>
    </w:p>
    <w:p w:rsidR="00000000" w:rsidRDefault="00000000">
      <w:pPr>
        <w:pStyle w:val="zy"/>
        <w:spacing w:beforeLines="0" w:afterLines="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-1-1</w:t>
      </w:r>
      <w:r>
        <w:rPr>
          <w:rFonts w:eastAsia="仿宋" w:hint="eastAsia"/>
          <w:b w:val="0"/>
          <w:bCs/>
          <w:color w:val="auto"/>
        </w:rPr>
        <w:t>吉林省</w:t>
      </w:r>
      <w:r>
        <w:rPr>
          <w:rFonts w:eastAsia="仿宋"/>
          <w:b w:val="0"/>
          <w:bCs/>
          <w:color w:val="auto"/>
        </w:rPr>
        <w:t>OLED</w:t>
      </w:r>
      <w:r>
        <w:rPr>
          <w:rFonts w:eastAsia="仿宋"/>
          <w:b w:val="0"/>
          <w:bCs/>
          <w:color w:val="auto"/>
        </w:rPr>
        <w:t>发光材料领域专利申请</w:t>
      </w:r>
      <w:r>
        <w:rPr>
          <w:rFonts w:eastAsia="仿宋"/>
          <w:b w:val="0"/>
          <w:bCs/>
          <w:color w:val="auto"/>
        </w:rPr>
        <w:t>/</w:t>
      </w:r>
      <w:r>
        <w:rPr>
          <w:rFonts w:eastAsia="仿宋"/>
          <w:b w:val="0"/>
          <w:bCs/>
          <w:color w:val="auto"/>
        </w:rPr>
        <w:t>授权趋势</w:t>
      </w:r>
    </w:p>
    <w:p w:rsidR="00000000" w:rsidRDefault="00000000">
      <w:pPr>
        <w:pStyle w:val="sy4"/>
        <w:spacing w:beforeLines="50" w:before="156" w:afterLines="50" w:after="156"/>
        <w:rPr>
          <w:rFonts w:eastAsia="仿宋"/>
          <w:sz w:val="28"/>
          <w:szCs w:val="28"/>
        </w:rPr>
      </w:pPr>
      <w:r>
        <w:rPr>
          <w:rFonts w:eastAsia="仿宋" w:hint="eastAsia"/>
          <w:sz w:val="28"/>
          <w:szCs w:val="28"/>
        </w:rPr>
        <w:lastRenderedPageBreak/>
        <w:t>4</w:t>
      </w:r>
      <w:r>
        <w:rPr>
          <w:rFonts w:eastAsia="仿宋"/>
          <w:sz w:val="28"/>
          <w:szCs w:val="28"/>
        </w:rPr>
        <w:t>.1.1.2</w:t>
      </w:r>
      <w:r>
        <w:rPr>
          <w:rFonts w:eastAsia="仿宋"/>
          <w:sz w:val="28"/>
          <w:szCs w:val="28"/>
        </w:rPr>
        <w:t>专利类型分布</w:t>
      </w:r>
    </w:p>
    <w:p w:rsidR="00000000" w:rsidRDefault="00000000">
      <w:pPr>
        <w:widowControl/>
        <w:spacing w:line="440" w:lineRule="exact"/>
        <w:ind w:firstLineChars="200" w:firstLine="480"/>
        <w:jc w:val="left"/>
        <w:rPr>
          <w:rFonts w:eastAsia="仿宋"/>
          <w:sz w:val="24"/>
        </w:rPr>
      </w:pPr>
      <w:r>
        <w:rPr>
          <w:rFonts w:eastAsia="仿宋"/>
          <w:sz w:val="24"/>
        </w:rPr>
        <w:t>如图</w:t>
      </w:r>
      <w:r>
        <w:rPr>
          <w:rFonts w:eastAsia="仿宋"/>
          <w:sz w:val="24"/>
        </w:rPr>
        <w:t>4-1-2</w:t>
      </w:r>
      <w:r>
        <w:rPr>
          <w:rFonts w:eastAsia="仿宋"/>
          <w:sz w:val="24"/>
        </w:rPr>
        <w:t>显示出了吉林省</w:t>
      </w:r>
      <w:r>
        <w:rPr>
          <w:rFonts w:eastAsia="仿宋"/>
          <w:sz w:val="24"/>
        </w:rPr>
        <w:t>OLED</w:t>
      </w:r>
      <w:r>
        <w:rPr>
          <w:rFonts w:eastAsia="仿宋"/>
          <w:sz w:val="24"/>
        </w:rPr>
        <w:t>发光材料领域的专利类型分布，对于</w:t>
      </w:r>
      <w:r>
        <w:rPr>
          <w:rFonts w:eastAsia="仿宋"/>
          <w:sz w:val="24"/>
        </w:rPr>
        <w:t>OLED</w:t>
      </w:r>
      <w:r>
        <w:rPr>
          <w:rFonts w:eastAsia="仿宋"/>
          <w:sz w:val="24"/>
        </w:rPr>
        <w:t>发光材料领域，其中发明专利以领先的优势占据专利类型分布的绝大多数，占比</w:t>
      </w:r>
      <w:r>
        <w:rPr>
          <w:rFonts w:eastAsia="仿宋"/>
          <w:sz w:val="24"/>
        </w:rPr>
        <w:t>99.74%</w:t>
      </w:r>
      <w:r>
        <w:rPr>
          <w:rFonts w:eastAsia="仿宋"/>
          <w:sz w:val="24"/>
        </w:rPr>
        <w:t>，仅</w:t>
      </w:r>
      <w:r>
        <w:rPr>
          <w:rFonts w:eastAsia="仿宋"/>
          <w:sz w:val="24"/>
        </w:rPr>
        <w:t>1</w:t>
      </w:r>
      <w:r>
        <w:rPr>
          <w:rFonts w:eastAsia="仿宋"/>
          <w:sz w:val="24"/>
        </w:rPr>
        <w:t>件为实用新型专利，占比</w:t>
      </w:r>
      <w:r>
        <w:rPr>
          <w:rFonts w:eastAsia="仿宋"/>
          <w:sz w:val="24"/>
        </w:rPr>
        <w:t>0.26%</w:t>
      </w:r>
      <w:r>
        <w:rPr>
          <w:rFonts w:eastAsia="仿宋"/>
          <w:sz w:val="24"/>
        </w:rPr>
        <w:t>。</w:t>
      </w:r>
    </w:p>
    <w:p w:rsidR="00000000" w:rsidRDefault="000A495B">
      <w:pPr>
        <w:jc w:val="center"/>
      </w:pPr>
      <w:r>
        <w:rPr>
          <w:noProof/>
        </w:rPr>
        <w:drawing>
          <wp:inline distT="0" distB="0" distL="0" distR="0">
            <wp:extent cx="2714625" cy="2695575"/>
            <wp:effectExtent l="0" t="0" r="0" b="0"/>
            <wp:docPr id="2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pic:cNvPicPr>
                      <a:picLocks noChangeAspect="1" noChangeArrowheads="1"/>
                    </pic:cNvPicPr>
                  </pic:nvPicPr>
                  <pic:blipFill>
                    <a:blip r:embed="rId40">
                      <a:extLst>
                        <a:ext uri="{28A0092B-C50C-407E-A947-70E740481C1C}">
                          <a14:useLocalDpi xmlns:a14="http://schemas.microsoft.com/office/drawing/2010/main" val="0"/>
                        </a:ext>
                      </a:extLst>
                    </a:blip>
                    <a:srcRect t="3732" b="4237"/>
                    <a:stretch>
                      <a:fillRect/>
                    </a:stretch>
                  </pic:blipFill>
                  <pic:spPr bwMode="auto">
                    <a:xfrm>
                      <a:off x="0" y="0"/>
                      <a:ext cx="2714625" cy="2695575"/>
                    </a:xfrm>
                    <a:prstGeom prst="rect">
                      <a:avLst/>
                    </a:prstGeom>
                    <a:noFill/>
                    <a:ln>
                      <a:noFill/>
                    </a:ln>
                    <a:effectLst/>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-1-2</w:t>
      </w:r>
      <w:r>
        <w:rPr>
          <w:rFonts w:eastAsia="仿宋" w:hint="eastAsia"/>
          <w:b w:val="0"/>
          <w:bCs/>
          <w:color w:val="auto"/>
        </w:rPr>
        <w:t>吉林省</w:t>
      </w:r>
      <w:r>
        <w:rPr>
          <w:rFonts w:eastAsia="仿宋"/>
          <w:b w:val="0"/>
          <w:bCs/>
          <w:color w:val="auto"/>
        </w:rPr>
        <w:t>OLED</w:t>
      </w:r>
      <w:r>
        <w:rPr>
          <w:rFonts w:eastAsia="仿宋"/>
          <w:b w:val="0"/>
          <w:bCs/>
          <w:color w:val="auto"/>
        </w:rPr>
        <w:t>发光材料领域专利类型分布</w:t>
      </w:r>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.1.1.3</w:t>
      </w:r>
      <w:r>
        <w:rPr>
          <w:rFonts w:eastAsia="仿宋"/>
          <w:sz w:val="28"/>
          <w:szCs w:val="28"/>
        </w:rPr>
        <w:t>简单法律状态分布</w:t>
      </w:r>
    </w:p>
    <w:p w:rsidR="00000000" w:rsidRDefault="00000000">
      <w:pPr>
        <w:widowControl/>
        <w:spacing w:line="440" w:lineRule="exact"/>
        <w:ind w:firstLineChars="200" w:firstLine="480"/>
        <w:jc w:val="left"/>
        <w:rPr>
          <w:rFonts w:eastAsia="仿宋" w:hint="eastAsia"/>
          <w:sz w:val="28"/>
          <w:szCs w:val="28"/>
        </w:rPr>
      </w:pPr>
      <w:r>
        <w:rPr>
          <w:rFonts w:eastAsia="仿宋"/>
          <w:sz w:val="24"/>
        </w:rPr>
        <w:t>如图</w:t>
      </w:r>
      <w:r>
        <w:rPr>
          <w:rFonts w:eastAsia="仿宋"/>
          <w:sz w:val="24"/>
        </w:rPr>
        <w:t>4-1-3</w:t>
      </w:r>
      <w:r>
        <w:rPr>
          <w:rFonts w:eastAsia="仿宋"/>
          <w:sz w:val="24"/>
        </w:rPr>
        <w:t>，显示出了吉林省在</w:t>
      </w:r>
      <w:r>
        <w:rPr>
          <w:rFonts w:eastAsia="仿宋"/>
          <w:sz w:val="24"/>
        </w:rPr>
        <w:t>OLED</w:t>
      </w:r>
      <w:r>
        <w:rPr>
          <w:rFonts w:eastAsia="仿宋"/>
          <w:sz w:val="24"/>
        </w:rPr>
        <w:t>发光材料产业的专利简单法律状态分布情况；可以看出，有效专利</w:t>
      </w:r>
      <w:r>
        <w:rPr>
          <w:rFonts w:eastAsia="仿宋"/>
          <w:sz w:val="24"/>
        </w:rPr>
        <w:t>242</w:t>
      </w:r>
      <w:r>
        <w:rPr>
          <w:rFonts w:eastAsia="仿宋"/>
          <w:sz w:val="24"/>
        </w:rPr>
        <w:t>件，占比</w:t>
      </w:r>
      <w:r>
        <w:rPr>
          <w:rFonts w:eastAsia="仿宋"/>
          <w:sz w:val="24"/>
        </w:rPr>
        <w:t>31.43%</w:t>
      </w:r>
      <w:r>
        <w:rPr>
          <w:rFonts w:eastAsia="仿宋"/>
          <w:sz w:val="24"/>
        </w:rPr>
        <w:t>，失效专利</w:t>
      </w:r>
      <w:r>
        <w:rPr>
          <w:rFonts w:eastAsia="仿宋"/>
          <w:sz w:val="24"/>
        </w:rPr>
        <w:t>361</w:t>
      </w:r>
      <w:r>
        <w:rPr>
          <w:rFonts w:eastAsia="仿宋"/>
          <w:sz w:val="24"/>
        </w:rPr>
        <w:t>件，占比</w:t>
      </w:r>
      <w:r>
        <w:rPr>
          <w:rFonts w:eastAsia="仿宋"/>
          <w:sz w:val="24"/>
        </w:rPr>
        <w:t>46.88%</w:t>
      </w:r>
      <w:r>
        <w:rPr>
          <w:rFonts w:eastAsia="仿宋"/>
          <w:sz w:val="24"/>
        </w:rPr>
        <w:t>，审中专利</w:t>
      </w:r>
      <w:r>
        <w:rPr>
          <w:rFonts w:eastAsia="仿宋"/>
          <w:sz w:val="24"/>
        </w:rPr>
        <w:t>167</w:t>
      </w:r>
      <w:r>
        <w:rPr>
          <w:rFonts w:eastAsia="仿宋"/>
          <w:sz w:val="24"/>
        </w:rPr>
        <w:t>件，占比</w:t>
      </w:r>
      <w:r>
        <w:rPr>
          <w:rFonts w:eastAsia="仿宋"/>
          <w:sz w:val="24"/>
        </w:rPr>
        <w:t>21.69%</w:t>
      </w:r>
      <w:r>
        <w:rPr>
          <w:rFonts w:eastAsia="仿宋"/>
          <w:sz w:val="24"/>
        </w:rPr>
        <w:t>；从这一现象也可以看出，对于</w:t>
      </w:r>
      <w:r>
        <w:rPr>
          <w:rFonts w:eastAsia="仿宋"/>
          <w:sz w:val="24"/>
        </w:rPr>
        <w:t>OLED</w:t>
      </w:r>
      <w:r>
        <w:rPr>
          <w:rFonts w:eastAsia="仿宋"/>
          <w:sz w:val="24"/>
        </w:rPr>
        <w:t>发光材料领域，大部分专利处于失效状态，申请人需要不断的进行研发投入，以保持业内的领先地位。</w:t>
      </w:r>
    </w:p>
    <w:p w:rsidR="00000000" w:rsidRDefault="000A495B">
      <w:pPr>
        <w:jc w:val="center"/>
      </w:pPr>
      <w:r>
        <w:rPr>
          <w:noProof/>
        </w:rPr>
        <w:drawing>
          <wp:inline distT="0" distB="0" distL="0" distR="0">
            <wp:extent cx="3971925" cy="2324100"/>
            <wp:effectExtent l="0" t="0" r="0" b="0"/>
            <wp:docPr id="2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pic:cNvPicPr>
                      <a:picLocks noChangeAspect="1" noChangeArrowheads="1"/>
                    </pic:cNvPicPr>
                  </pic:nvPicPr>
                  <pic:blipFill>
                    <a:blip r:embed="rId41">
                      <a:extLst>
                        <a:ext uri="{28A0092B-C50C-407E-A947-70E740481C1C}">
                          <a14:useLocalDpi xmlns:a14="http://schemas.microsoft.com/office/drawing/2010/main" val="0"/>
                        </a:ext>
                      </a:extLst>
                    </a:blip>
                    <a:srcRect b="5434"/>
                    <a:stretch>
                      <a:fillRect/>
                    </a:stretch>
                  </pic:blipFill>
                  <pic:spPr bwMode="auto">
                    <a:xfrm>
                      <a:off x="0" y="0"/>
                      <a:ext cx="3971925" cy="2324100"/>
                    </a:xfrm>
                    <a:prstGeom prst="rect">
                      <a:avLst/>
                    </a:prstGeom>
                    <a:noFill/>
                    <a:ln>
                      <a:noFill/>
                    </a:ln>
                    <a:effectLst/>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-1-3</w:t>
      </w:r>
      <w:r>
        <w:rPr>
          <w:rFonts w:eastAsia="仿宋" w:hint="eastAsia"/>
          <w:b w:val="0"/>
          <w:bCs/>
          <w:color w:val="auto"/>
        </w:rPr>
        <w:t>吉林省</w:t>
      </w:r>
      <w:r>
        <w:rPr>
          <w:rFonts w:eastAsia="仿宋"/>
          <w:b w:val="0"/>
          <w:bCs/>
          <w:color w:val="auto"/>
        </w:rPr>
        <w:t>OLED</w:t>
      </w:r>
      <w:r>
        <w:rPr>
          <w:rFonts w:eastAsia="仿宋"/>
          <w:b w:val="0"/>
          <w:bCs/>
          <w:color w:val="auto"/>
        </w:rPr>
        <w:t>发光材料领域专利简单法律状态分布</w:t>
      </w:r>
    </w:p>
    <w:p w:rsidR="00000000" w:rsidRDefault="00000000">
      <w:pPr>
        <w:pStyle w:val="sy4"/>
        <w:spacing w:beforeLines="50" w:before="156" w:afterLines="50" w:after="156"/>
        <w:rPr>
          <w:rFonts w:eastAsia="仿宋"/>
          <w:sz w:val="28"/>
          <w:szCs w:val="28"/>
        </w:rPr>
      </w:pPr>
      <w:r>
        <w:rPr>
          <w:rFonts w:eastAsia="仿宋" w:hint="eastAsia"/>
          <w:sz w:val="28"/>
          <w:szCs w:val="28"/>
        </w:rPr>
        <w:lastRenderedPageBreak/>
        <w:t>4</w:t>
      </w:r>
      <w:r>
        <w:rPr>
          <w:rFonts w:eastAsia="仿宋"/>
          <w:sz w:val="28"/>
          <w:szCs w:val="28"/>
        </w:rPr>
        <w:t>.1.1.4</w:t>
      </w:r>
      <w:r>
        <w:rPr>
          <w:rFonts w:eastAsia="仿宋"/>
          <w:sz w:val="28"/>
          <w:szCs w:val="28"/>
        </w:rPr>
        <w:t>专利目标市场国</w:t>
      </w:r>
      <w:r>
        <w:rPr>
          <w:rFonts w:eastAsia="仿宋"/>
          <w:sz w:val="28"/>
          <w:szCs w:val="28"/>
        </w:rPr>
        <w:t>/</w:t>
      </w:r>
      <w:r>
        <w:rPr>
          <w:rFonts w:eastAsia="仿宋"/>
          <w:sz w:val="28"/>
          <w:szCs w:val="28"/>
        </w:rPr>
        <w:t>地区</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4-1-4</w:t>
      </w:r>
      <w:r>
        <w:rPr>
          <w:rFonts w:eastAsia="仿宋"/>
          <w:sz w:val="24"/>
        </w:rPr>
        <w:t>展示了吉林省</w:t>
      </w:r>
      <w:r>
        <w:rPr>
          <w:rFonts w:eastAsia="仿宋"/>
          <w:sz w:val="24"/>
        </w:rPr>
        <w:t>OLED</w:t>
      </w:r>
      <w:r>
        <w:rPr>
          <w:rFonts w:eastAsia="仿宋"/>
          <w:sz w:val="24"/>
        </w:rPr>
        <w:t>发光材料产业专利的目标市场国</w:t>
      </w:r>
      <w:r>
        <w:rPr>
          <w:rFonts w:eastAsia="仿宋"/>
          <w:sz w:val="24"/>
        </w:rPr>
        <w:t>/</w:t>
      </w:r>
      <w:r>
        <w:rPr>
          <w:rFonts w:eastAsia="仿宋"/>
          <w:sz w:val="24"/>
        </w:rPr>
        <w:t>地区分布格局；对于中游</w:t>
      </w:r>
      <w:r>
        <w:rPr>
          <w:rFonts w:eastAsia="仿宋"/>
          <w:sz w:val="24"/>
        </w:rPr>
        <w:t>OLED</w:t>
      </w:r>
      <w:r>
        <w:rPr>
          <w:rFonts w:eastAsia="仿宋"/>
          <w:sz w:val="24"/>
        </w:rPr>
        <w:t>发光材料领域，从图中我们可以清晰地看到，技术目标全部聚焦于中国，目前有效的专利受理量累计达到了</w:t>
      </w:r>
      <w:r>
        <w:rPr>
          <w:rFonts w:eastAsia="仿宋"/>
          <w:sz w:val="24"/>
        </w:rPr>
        <w:t>770</w:t>
      </w:r>
      <w:r>
        <w:rPr>
          <w:rFonts w:eastAsia="仿宋"/>
          <w:sz w:val="24"/>
        </w:rPr>
        <w:t>余件这表明吉林省在</w:t>
      </w:r>
      <w:r>
        <w:rPr>
          <w:rFonts w:eastAsia="仿宋"/>
          <w:sz w:val="24"/>
        </w:rPr>
        <w:t>OLED</w:t>
      </w:r>
      <w:r>
        <w:rPr>
          <w:rFonts w:eastAsia="仿宋"/>
          <w:sz w:val="24"/>
        </w:rPr>
        <w:t>发光材料领域的专利布局以国内市场为主。进一步分析表明，吉林省的专利申请人目前主要集中在本国区域内进行专利布局，很少向其他国家或地区提出专利申请。这一发现揭示了吉林省在全球化专利战略方面仍有待加强，未来或许可以考虑进一步拓展海外市场，提升其在国际竞争中的地位和影响力。</w:t>
      </w:r>
    </w:p>
    <w:p w:rsidR="00000000" w:rsidRDefault="000A495B">
      <w:pPr>
        <w:jc w:val="center"/>
      </w:pPr>
      <w:r>
        <w:rPr>
          <w:noProof/>
        </w:rPr>
        <w:drawing>
          <wp:inline distT="0" distB="0" distL="0" distR="0">
            <wp:extent cx="3248025" cy="3267075"/>
            <wp:effectExtent l="0" t="0" r="0" b="0"/>
            <wp:docPr id="2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8025" cy="3267075"/>
                    </a:xfrm>
                    <a:prstGeom prst="rect">
                      <a:avLst/>
                    </a:prstGeom>
                    <a:noFill/>
                    <a:ln>
                      <a:noFill/>
                    </a:ln>
                    <a:effectLst/>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-1-4</w:t>
      </w:r>
      <w:r>
        <w:rPr>
          <w:rFonts w:eastAsia="仿宋" w:hint="eastAsia"/>
          <w:b w:val="0"/>
          <w:bCs/>
          <w:color w:val="auto"/>
        </w:rPr>
        <w:t>吉林省</w:t>
      </w:r>
      <w:r>
        <w:rPr>
          <w:rFonts w:eastAsia="仿宋"/>
          <w:b w:val="0"/>
          <w:bCs/>
          <w:color w:val="auto"/>
        </w:rPr>
        <w:t>OLED</w:t>
      </w:r>
      <w:r>
        <w:rPr>
          <w:rFonts w:eastAsia="仿宋"/>
          <w:b w:val="0"/>
          <w:bCs/>
          <w:color w:val="auto"/>
        </w:rPr>
        <w:t>发光材料专利目标市场国</w:t>
      </w:r>
      <w:r>
        <w:rPr>
          <w:rFonts w:eastAsia="仿宋"/>
          <w:b w:val="0"/>
          <w:bCs/>
          <w:color w:val="auto"/>
        </w:rPr>
        <w:t>/</w:t>
      </w:r>
      <w:r>
        <w:rPr>
          <w:rFonts w:eastAsia="仿宋"/>
          <w:b w:val="0"/>
          <w:bCs/>
          <w:color w:val="auto"/>
        </w:rPr>
        <w:t>地区分布</w:t>
      </w:r>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.1.1.5</w:t>
      </w:r>
      <w:r>
        <w:rPr>
          <w:rFonts w:eastAsia="仿宋"/>
          <w:sz w:val="28"/>
          <w:szCs w:val="28"/>
        </w:rPr>
        <w:t>技术构成分析</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4-1-5</w:t>
      </w:r>
      <w:r>
        <w:rPr>
          <w:rFonts w:eastAsia="仿宋"/>
          <w:sz w:val="24"/>
        </w:rPr>
        <w:t>显示了吉林省</w:t>
      </w:r>
      <w:r>
        <w:rPr>
          <w:rFonts w:eastAsia="仿宋"/>
          <w:sz w:val="24"/>
        </w:rPr>
        <w:t>OLED</w:t>
      </w:r>
      <w:r>
        <w:rPr>
          <w:rFonts w:eastAsia="仿宋"/>
          <w:sz w:val="24"/>
        </w:rPr>
        <w:t>发光材料领域主要技术构成情况。对于</w:t>
      </w:r>
      <w:r>
        <w:rPr>
          <w:rFonts w:eastAsia="仿宋"/>
          <w:sz w:val="24"/>
        </w:rPr>
        <w:t>OLED</w:t>
      </w:r>
      <w:r>
        <w:rPr>
          <w:rFonts w:eastAsia="仿宋"/>
          <w:sz w:val="24"/>
        </w:rPr>
        <w:t>发光材料，从图中可以清晰地看到，</w:t>
      </w:r>
      <w:r>
        <w:rPr>
          <w:rFonts w:eastAsia="仿宋"/>
          <w:sz w:val="24"/>
        </w:rPr>
        <w:t>C09K11</w:t>
      </w:r>
      <w:r>
        <w:rPr>
          <w:rFonts w:eastAsia="仿宋"/>
          <w:sz w:val="24"/>
        </w:rPr>
        <w:t>和</w:t>
      </w:r>
      <w:r>
        <w:rPr>
          <w:rFonts w:eastAsia="仿宋"/>
          <w:sz w:val="24"/>
        </w:rPr>
        <w:t>H01L51</w:t>
      </w:r>
      <w:r>
        <w:rPr>
          <w:rFonts w:eastAsia="仿宋"/>
          <w:sz w:val="24"/>
        </w:rPr>
        <w:t>这</w:t>
      </w:r>
      <w:r>
        <w:rPr>
          <w:rFonts w:eastAsia="仿宋"/>
          <w:sz w:val="24"/>
        </w:rPr>
        <w:t>2</w:t>
      </w:r>
      <w:r>
        <w:rPr>
          <w:rFonts w:eastAsia="仿宋"/>
          <w:sz w:val="24"/>
        </w:rPr>
        <w:t>个分类号的专利数量尤为突出，它们共同占据了整个技术构成中高达</w:t>
      </w:r>
      <w:r>
        <w:rPr>
          <w:rFonts w:eastAsia="仿宋"/>
          <w:sz w:val="24"/>
        </w:rPr>
        <w:t>40%</w:t>
      </w:r>
      <w:r>
        <w:rPr>
          <w:rFonts w:eastAsia="仿宋"/>
          <w:sz w:val="24"/>
        </w:rPr>
        <w:t>左右的专利份额。这一数据不仅反映了吉林省在</w:t>
      </w:r>
      <w:r>
        <w:rPr>
          <w:rFonts w:eastAsia="仿宋"/>
          <w:sz w:val="24"/>
        </w:rPr>
        <w:t>OLED</w:t>
      </w:r>
      <w:r>
        <w:rPr>
          <w:rFonts w:eastAsia="仿宋"/>
          <w:sz w:val="24"/>
        </w:rPr>
        <w:t>发光材料领域的技术研发实力，也彰显了吉林省在这一领域的技术创新能力和行业影响力。</w:t>
      </w:r>
    </w:p>
    <w:p w:rsidR="00000000" w:rsidRDefault="000A495B">
      <w:pPr>
        <w:jc w:val="center"/>
      </w:pPr>
      <w:r>
        <w:rPr>
          <w:noProof/>
        </w:rPr>
        <w:lastRenderedPageBreak/>
        <w:drawing>
          <wp:inline distT="0" distB="0" distL="0" distR="0">
            <wp:extent cx="5610225" cy="3371850"/>
            <wp:effectExtent l="0" t="0" r="0" b="0"/>
            <wp:docPr id="29"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43">
                      <a:extLst>
                        <a:ext uri="{28A0092B-C50C-407E-A947-70E740481C1C}">
                          <a14:useLocalDpi xmlns:a14="http://schemas.microsoft.com/office/drawing/2010/main" val="0"/>
                        </a:ext>
                      </a:extLst>
                    </a:blip>
                    <a:srcRect t="5209"/>
                    <a:stretch>
                      <a:fillRect/>
                    </a:stretch>
                  </pic:blipFill>
                  <pic:spPr bwMode="auto">
                    <a:xfrm>
                      <a:off x="0" y="0"/>
                      <a:ext cx="5610225" cy="3371850"/>
                    </a:xfrm>
                    <a:prstGeom prst="rect">
                      <a:avLst/>
                    </a:prstGeom>
                    <a:noFill/>
                    <a:ln>
                      <a:noFill/>
                    </a:ln>
                    <a:effectLst/>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-1-5</w:t>
      </w:r>
      <w:r>
        <w:rPr>
          <w:rFonts w:eastAsia="仿宋" w:hint="eastAsia"/>
          <w:b w:val="0"/>
          <w:bCs/>
          <w:color w:val="auto"/>
        </w:rPr>
        <w:t>吉林省</w:t>
      </w:r>
      <w:r>
        <w:rPr>
          <w:rFonts w:eastAsia="仿宋"/>
          <w:b w:val="0"/>
          <w:bCs/>
          <w:color w:val="auto"/>
        </w:rPr>
        <w:t>OLED</w:t>
      </w:r>
      <w:r>
        <w:rPr>
          <w:rFonts w:eastAsia="仿宋"/>
          <w:b w:val="0"/>
          <w:bCs/>
          <w:color w:val="auto"/>
        </w:rPr>
        <w:t>发光材料领域主要技术构成</w:t>
      </w:r>
    </w:p>
    <w:p w:rsidR="00000000" w:rsidRDefault="00000000">
      <w:pPr>
        <w:widowControl/>
        <w:spacing w:line="440" w:lineRule="exact"/>
        <w:ind w:firstLineChars="200" w:firstLine="480"/>
        <w:jc w:val="left"/>
        <w:rPr>
          <w:rFonts w:eastAsia="仿宋"/>
          <w:sz w:val="24"/>
        </w:rPr>
      </w:pPr>
      <w:r>
        <w:rPr>
          <w:rFonts w:eastAsia="仿宋"/>
          <w:sz w:val="24"/>
        </w:rPr>
        <w:t>其</w:t>
      </w:r>
      <w:r>
        <w:rPr>
          <w:rFonts w:eastAsia="仿宋"/>
          <w:sz w:val="24"/>
        </w:rPr>
        <w:t>IPC</w:t>
      </w:r>
      <w:r>
        <w:rPr>
          <w:rFonts w:eastAsia="仿宋"/>
          <w:sz w:val="24"/>
        </w:rPr>
        <w:t>代码含义如下：</w:t>
      </w:r>
    </w:p>
    <w:p w:rsidR="00000000" w:rsidRDefault="00000000">
      <w:pPr>
        <w:widowControl/>
        <w:spacing w:line="440" w:lineRule="exact"/>
        <w:ind w:firstLineChars="200" w:firstLine="480"/>
        <w:jc w:val="left"/>
        <w:rPr>
          <w:rFonts w:eastAsia="仿宋"/>
          <w:sz w:val="24"/>
        </w:rPr>
      </w:pPr>
      <w:r>
        <w:rPr>
          <w:rFonts w:eastAsia="仿宋"/>
          <w:sz w:val="24"/>
        </w:rPr>
        <w:t>C09K11</w:t>
      </w:r>
      <w:r>
        <w:rPr>
          <w:rFonts w:eastAsia="仿宋"/>
          <w:sz w:val="24"/>
        </w:rPr>
        <w:t>：发光材料，例如电致发光材料、化学发光材料</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H01L51</w:t>
      </w:r>
      <w:r>
        <w:rPr>
          <w:rFonts w:eastAsia="仿宋"/>
          <w:sz w:val="24"/>
        </w:rPr>
        <w:t>：使用有机材料作有源部分或使用有机材料与其他材料的组合作有源部分的固态器件；专门适用于制造或处理这些器件或其部件的工艺方法或设备（由在一个公共衬底中或其上形成的多个组件组成的器件入</w:t>
      </w:r>
      <w:r>
        <w:rPr>
          <w:rFonts w:eastAsia="仿宋"/>
          <w:sz w:val="24"/>
        </w:rPr>
        <w:t>H01L27/28;</w:t>
      </w:r>
      <w:r>
        <w:rPr>
          <w:rFonts w:eastAsia="仿宋"/>
          <w:sz w:val="24"/>
        </w:rPr>
        <w:t>使用有机材料的热电器件入</w:t>
      </w:r>
      <w:r>
        <w:rPr>
          <w:rFonts w:eastAsia="仿宋"/>
          <w:sz w:val="24"/>
        </w:rPr>
        <w:t>H01L35/00,H01L37/00</w:t>
      </w:r>
      <w:r>
        <w:rPr>
          <w:rFonts w:eastAsia="仿宋"/>
          <w:sz w:val="24"/>
        </w:rPr>
        <w:t>；使用有机材料的压电、电致伸缩或磁致伸缩元件入</w:t>
      </w:r>
      <w:r>
        <w:rPr>
          <w:rFonts w:eastAsia="仿宋"/>
          <w:sz w:val="24"/>
        </w:rPr>
        <w:t>H01L41/00</w:t>
      </w:r>
      <w:r>
        <w:rPr>
          <w:rFonts w:eastAsia="仿宋"/>
          <w:sz w:val="24"/>
        </w:rPr>
        <w:t>）</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C07D405</w:t>
      </w:r>
      <w:r>
        <w:rPr>
          <w:rFonts w:eastAsia="仿宋"/>
          <w:sz w:val="24"/>
        </w:rPr>
        <w:t>：杂环化合物，含有</w:t>
      </w:r>
      <w:r>
        <w:rPr>
          <w:rFonts w:eastAsia="仿宋"/>
          <w:sz w:val="24"/>
        </w:rPr>
        <w:t>1</w:t>
      </w:r>
      <w:r>
        <w:rPr>
          <w:rFonts w:eastAsia="仿宋"/>
          <w:sz w:val="24"/>
        </w:rPr>
        <w:t>个或多个以氧原子作为仅有的杂环原子的环，且含有</w:t>
      </w:r>
      <w:r>
        <w:rPr>
          <w:rFonts w:eastAsia="仿宋"/>
          <w:sz w:val="24"/>
        </w:rPr>
        <w:t>1</w:t>
      </w:r>
      <w:r>
        <w:rPr>
          <w:rFonts w:eastAsia="仿宋"/>
          <w:sz w:val="24"/>
        </w:rPr>
        <w:t>个或多个以氮原子作为仅有的杂环原子的环</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H10K85</w:t>
      </w:r>
      <w:r>
        <w:rPr>
          <w:rFonts w:eastAsia="仿宋"/>
          <w:sz w:val="24"/>
        </w:rPr>
        <w:t>：本小类包括的器件的主体或电极中的有机材料</w:t>
      </w:r>
      <w:r>
        <w:rPr>
          <w:rFonts w:eastAsia="仿宋"/>
          <w:sz w:val="24"/>
        </w:rPr>
        <w:t xml:space="preserve"> [2023.01]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H10K50</w:t>
      </w:r>
      <w:r>
        <w:rPr>
          <w:rFonts w:eastAsia="仿宋"/>
          <w:sz w:val="24"/>
        </w:rPr>
        <w:t>：有机发光器件（集成器件或多个器件的组装件入</w:t>
      </w:r>
      <w:r>
        <w:rPr>
          <w:rFonts w:eastAsia="仿宋"/>
          <w:sz w:val="24"/>
        </w:rPr>
        <w:t>H10K59/00,H10K65/00</w:t>
      </w:r>
      <w:r>
        <w:rPr>
          <w:rFonts w:eastAsia="仿宋"/>
          <w:sz w:val="24"/>
        </w:rPr>
        <w:t>）（有机半导体激光器入</w:t>
      </w:r>
      <w:r>
        <w:rPr>
          <w:rFonts w:eastAsia="仿宋"/>
          <w:sz w:val="24"/>
        </w:rPr>
        <w:t>H01S5/36</w:t>
      </w:r>
      <w:r>
        <w:rPr>
          <w:rFonts w:eastAsia="仿宋"/>
          <w:sz w:val="24"/>
        </w:rPr>
        <w:t>）</w:t>
      </w:r>
      <w:r>
        <w:rPr>
          <w:rFonts w:eastAsia="仿宋"/>
          <w:sz w:val="24"/>
        </w:rPr>
        <w:t>[2023.01]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C07D409</w:t>
      </w:r>
      <w:r>
        <w:rPr>
          <w:rFonts w:eastAsia="仿宋"/>
          <w:sz w:val="24"/>
        </w:rPr>
        <w:t>：杂环化合物，含两个或更多个杂环，至少有</w:t>
      </w:r>
      <w:r>
        <w:rPr>
          <w:rFonts w:eastAsia="仿宋"/>
          <w:sz w:val="24"/>
        </w:rPr>
        <w:t>1</w:t>
      </w:r>
      <w:r>
        <w:rPr>
          <w:rFonts w:eastAsia="仿宋"/>
          <w:sz w:val="24"/>
        </w:rPr>
        <w:t>个环有硫原子作为仅有的杂环原子</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C07D401</w:t>
      </w:r>
      <w:r>
        <w:rPr>
          <w:rFonts w:eastAsia="仿宋"/>
          <w:sz w:val="24"/>
        </w:rPr>
        <w:t>：杂环化合物，含有两个或更多个杂环，以氮原子作为仅有的杂环原子，至少有</w:t>
      </w:r>
      <w:r>
        <w:rPr>
          <w:rFonts w:eastAsia="仿宋"/>
          <w:sz w:val="24"/>
        </w:rPr>
        <w:t>1</w:t>
      </w:r>
      <w:r>
        <w:rPr>
          <w:rFonts w:eastAsia="仿宋"/>
          <w:sz w:val="24"/>
        </w:rPr>
        <w:t>个环是仅含有</w:t>
      </w:r>
      <w:r>
        <w:rPr>
          <w:rFonts w:eastAsia="仿宋"/>
          <w:sz w:val="24"/>
        </w:rPr>
        <w:t>1</w:t>
      </w:r>
      <w:r>
        <w:rPr>
          <w:rFonts w:eastAsia="仿宋"/>
          <w:sz w:val="24"/>
        </w:rPr>
        <w:t>个氮原子的六元环</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C07D307</w:t>
      </w:r>
      <w:r>
        <w:rPr>
          <w:rFonts w:eastAsia="仿宋"/>
          <w:sz w:val="24"/>
        </w:rPr>
        <w:t>：杂环化合物，含五元环，含有</w:t>
      </w:r>
      <w:r>
        <w:rPr>
          <w:rFonts w:eastAsia="仿宋"/>
          <w:sz w:val="24"/>
        </w:rPr>
        <w:t>1</w:t>
      </w:r>
      <w:r>
        <w:rPr>
          <w:rFonts w:eastAsia="仿宋"/>
          <w:sz w:val="24"/>
        </w:rPr>
        <w:t>个氧原子作为仅有的杂环原子</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lastRenderedPageBreak/>
        <w:t>C07D403</w:t>
      </w:r>
      <w:r>
        <w:rPr>
          <w:rFonts w:eastAsia="仿宋"/>
          <w:sz w:val="24"/>
        </w:rPr>
        <w:t>：杂环化合物，含有两个或更多的杂环，以氮原子作为仅有的杂环原子，</w:t>
      </w:r>
      <w:r>
        <w:rPr>
          <w:rFonts w:eastAsia="仿宋"/>
          <w:sz w:val="24"/>
        </w:rPr>
        <w:t>C07D401/00</w:t>
      </w:r>
      <w:r>
        <w:rPr>
          <w:rFonts w:eastAsia="仿宋"/>
          <w:sz w:val="24"/>
        </w:rPr>
        <w:t>组不包含的</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C07D471</w:t>
      </w:r>
      <w:r>
        <w:rPr>
          <w:rFonts w:eastAsia="仿宋"/>
          <w:sz w:val="24"/>
        </w:rPr>
        <w:t>：在稠环系中含有氮原子作为仅有的杂环原子、其中至少</w:t>
      </w:r>
      <w:r>
        <w:rPr>
          <w:rFonts w:eastAsia="仿宋"/>
          <w:sz w:val="24"/>
        </w:rPr>
        <w:t>1</w:t>
      </w:r>
      <w:r>
        <w:rPr>
          <w:rFonts w:eastAsia="仿宋"/>
          <w:sz w:val="24"/>
        </w:rPr>
        <w:t>个环是含有</w:t>
      </w:r>
      <w:r>
        <w:rPr>
          <w:rFonts w:eastAsia="仿宋"/>
          <w:sz w:val="24"/>
        </w:rPr>
        <w:t>1</w:t>
      </w:r>
      <w:r>
        <w:rPr>
          <w:rFonts w:eastAsia="仿宋"/>
          <w:sz w:val="24"/>
        </w:rPr>
        <w:t>个氮原子的六元环的杂环化合物，</w:t>
      </w:r>
      <w:r>
        <w:rPr>
          <w:rFonts w:eastAsia="仿宋"/>
          <w:sz w:val="24"/>
        </w:rPr>
        <w:t>C07D451/00</w:t>
      </w:r>
      <w:r>
        <w:rPr>
          <w:rFonts w:eastAsia="仿宋"/>
          <w:sz w:val="24"/>
        </w:rPr>
        <w:t>至</w:t>
      </w:r>
      <w:r>
        <w:rPr>
          <w:rFonts w:eastAsia="仿宋"/>
          <w:sz w:val="24"/>
        </w:rPr>
        <w:t>C07D463/00</w:t>
      </w:r>
      <w:r>
        <w:rPr>
          <w:rFonts w:eastAsia="仿宋"/>
          <w:sz w:val="24"/>
        </w:rPr>
        <w:t>不包括的</w:t>
      </w:r>
      <w:r>
        <w:rPr>
          <w:rFonts w:eastAsia="仿宋"/>
          <w:sz w:val="24"/>
        </w:rPr>
        <w:t>[2006.01]</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对各技术分支近</w:t>
      </w:r>
      <w:r>
        <w:rPr>
          <w:rFonts w:eastAsia="仿宋"/>
          <w:sz w:val="24"/>
        </w:rPr>
        <w:t>10</w:t>
      </w:r>
      <w:r>
        <w:rPr>
          <w:rFonts w:eastAsia="仿宋"/>
          <w:sz w:val="24"/>
        </w:rPr>
        <w:t>年专利申请趋势变化的角度进行分析，得到图</w:t>
      </w:r>
      <w:r>
        <w:rPr>
          <w:rFonts w:eastAsia="仿宋"/>
          <w:sz w:val="24"/>
        </w:rPr>
        <w:t>4-1-6</w:t>
      </w:r>
      <w:r>
        <w:rPr>
          <w:rFonts w:eastAsia="仿宋"/>
          <w:sz w:val="24"/>
        </w:rPr>
        <w:t>。可以看出，对于</w:t>
      </w:r>
      <w:r>
        <w:rPr>
          <w:rFonts w:eastAsia="仿宋"/>
          <w:sz w:val="24"/>
        </w:rPr>
        <w:t>OLED</w:t>
      </w:r>
      <w:r>
        <w:rPr>
          <w:rFonts w:eastAsia="仿宋"/>
          <w:sz w:val="24"/>
        </w:rPr>
        <w:t>发光材料领域，近五年各个技术上领域相对开始活跃。</w:t>
      </w:r>
    </w:p>
    <w:p w:rsidR="00000000" w:rsidRDefault="000A495B">
      <w:r>
        <w:rPr>
          <w:noProof/>
        </w:rPr>
        <w:drawing>
          <wp:inline distT="0" distB="0" distL="0" distR="0">
            <wp:extent cx="5610225" cy="2333625"/>
            <wp:effectExtent l="0" t="0" r="0" b="0"/>
            <wp:docPr id="30"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-1-6</w:t>
      </w:r>
      <w:r>
        <w:rPr>
          <w:rFonts w:eastAsia="仿宋" w:hint="eastAsia"/>
          <w:b w:val="0"/>
          <w:bCs/>
          <w:color w:val="auto"/>
        </w:rPr>
        <w:t>吉林省</w:t>
      </w:r>
      <w:r>
        <w:rPr>
          <w:rFonts w:eastAsia="仿宋"/>
          <w:b w:val="0"/>
          <w:bCs/>
          <w:color w:val="auto"/>
        </w:rPr>
        <w:t>OLED</w:t>
      </w:r>
      <w:r>
        <w:rPr>
          <w:rFonts w:eastAsia="仿宋"/>
          <w:b w:val="0"/>
          <w:bCs/>
          <w:color w:val="auto"/>
        </w:rPr>
        <w:t>发光材料领域近十年技术发展趋势</w:t>
      </w:r>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.1.1.6</w:t>
      </w:r>
      <w:r>
        <w:rPr>
          <w:rFonts w:eastAsia="仿宋"/>
          <w:sz w:val="28"/>
          <w:szCs w:val="28"/>
        </w:rPr>
        <w:t>专利主要申请人分析</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4-1-7</w:t>
      </w:r>
      <w:r>
        <w:rPr>
          <w:rFonts w:eastAsia="仿宋"/>
          <w:sz w:val="24"/>
        </w:rPr>
        <w:t>为吉林省</w:t>
      </w:r>
      <w:r>
        <w:rPr>
          <w:rFonts w:eastAsia="仿宋"/>
          <w:sz w:val="24"/>
        </w:rPr>
        <w:t>OLED</w:t>
      </w:r>
      <w:r>
        <w:rPr>
          <w:rFonts w:eastAsia="仿宋"/>
          <w:sz w:val="24"/>
        </w:rPr>
        <w:t>发光材料产业主要申请人排名与技术分布情况。图</w:t>
      </w:r>
      <w:r>
        <w:rPr>
          <w:rFonts w:eastAsia="仿宋"/>
          <w:sz w:val="24"/>
        </w:rPr>
        <w:t>4-1-7</w:t>
      </w:r>
      <w:r>
        <w:rPr>
          <w:rFonts w:eastAsia="仿宋"/>
          <w:sz w:val="24"/>
        </w:rPr>
        <w:t>全面展示了吉林省</w:t>
      </w:r>
      <w:r>
        <w:rPr>
          <w:rFonts w:eastAsia="仿宋"/>
          <w:sz w:val="24"/>
        </w:rPr>
        <w:t>OLED</w:t>
      </w:r>
      <w:r>
        <w:rPr>
          <w:rFonts w:eastAsia="仿宋"/>
          <w:sz w:val="24"/>
        </w:rPr>
        <w:t>发光材料领域的核心申请人阵容；吉林省的基本情况主要体现在长春海谱润斯科技股份有限公司和吉林奥来德光电材料股份有限公司这两个公司上。图表不仅呈现了长春海谱润斯科技股份有限公司和吉林奥来德光电材料股份有限公司的专利申请数量，更深入地揭示了长春海谱润斯科技股份有限公司和吉林奥来德光电材料股份有限公司的技术研究方向和重点。通过详细分析申请人的技术分布，我们可以清晰地洞察到长春海谱润斯科技股份有限公司和吉林奥来德光电材料股份有限公司在不同技术领域的活跃度和投入情况。可以看出，长春海谱润斯科技股份有限公司在</w:t>
      </w:r>
      <w:r>
        <w:rPr>
          <w:rFonts w:eastAsia="仿宋"/>
          <w:sz w:val="24"/>
        </w:rPr>
        <w:t>C09K11/06</w:t>
      </w:r>
      <w:r>
        <w:rPr>
          <w:rFonts w:eastAsia="仿宋"/>
          <w:sz w:val="24"/>
        </w:rPr>
        <w:t>、</w:t>
      </w:r>
      <w:r>
        <w:rPr>
          <w:rFonts w:eastAsia="仿宋"/>
          <w:sz w:val="24"/>
        </w:rPr>
        <w:t>H01L51/54</w:t>
      </w:r>
      <w:r>
        <w:rPr>
          <w:rFonts w:eastAsia="仿宋"/>
          <w:sz w:val="24"/>
        </w:rPr>
        <w:t>和</w:t>
      </w:r>
      <w:r>
        <w:rPr>
          <w:rFonts w:eastAsia="仿宋"/>
          <w:sz w:val="24"/>
        </w:rPr>
        <w:t>H01L51/50</w:t>
      </w:r>
      <w:r>
        <w:rPr>
          <w:rFonts w:eastAsia="仿宋"/>
          <w:sz w:val="24"/>
        </w:rPr>
        <w:t>分类号上的明显优势，凸显了其在该领域的深入研究和重点布局。而吉林奥来德光电材料股份有限公司，是在</w:t>
      </w:r>
      <w:r>
        <w:rPr>
          <w:rFonts w:eastAsia="仿宋"/>
          <w:sz w:val="24"/>
        </w:rPr>
        <w:t>C09K11/06</w:t>
      </w:r>
      <w:r>
        <w:rPr>
          <w:rFonts w:eastAsia="仿宋"/>
          <w:sz w:val="24"/>
        </w:rPr>
        <w:t>、</w:t>
      </w:r>
      <w:r>
        <w:rPr>
          <w:rFonts w:eastAsia="仿宋"/>
          <w:sz w:val="24"/>
        </w:rPr>
        <w:t>H01L51/54</w:t>
      </w:r>
      <w:r>
        <w:rPr>
          <w:rFonts w:eastAsia="仿宋"/>
          <w:sz w:val="24"/>
        </w:rPr>
        <w:t>这两个分类号上申请数量较多，这张图表的深入分析不仅有助于我们了解吉林省</w:t>
      </w:r>
      <w:r>
        <w:rPr>
          <w:rFonts w:eastAsia="仿宋"/>
          <w:sz w:val="24"/>
        </w:rPr>
        <w:t>OLED</w:t>
      </w:r>
      <w:r>
        <w:rPr>
          <w:rFonts w:eastAsia="仿宋"/>
          <w:sz w:val="24"/>
        </w:rPr>
        <w:t>发光材料领域的竞争格局，更为我们揭示了各申请人的技术实力和发展方向。</w:t>
      </w:r>
    </w:p>
    <w:p w:rsidR="00000000" w:rsidRDefault="000A495B">
      <w:pPr>
        <w:rPr>
          <w:rFonts w:eastAsia="仿宋"/>
          <w:b/>
          <w:bCs/>
        </w:rPr>
      </w:pPr>
      <w:r>
        <w:rPr>
          <w:noProof/>
        </w:rPr>
        <w:lastRenderedPageBreak/>
        <w:drawing>
          <wp:inline distT="0" distB="0" distL="0" distR="0">
            <wp:extent cx="5619750" cy="2771775"/>
            <wp:effectExtent l="0" t="0" r="0" b="0"/>
            <wp:docPr id="31"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2771775"/>
                    </a:xfrm>
                    <a:prstGeom prst="rect">
                      <a:avLst/>
                    </a:prstGeom>
                    <a:noFill/>
                    <a:ln>
                      <a:noFill/>
                    </a:ln>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-1-7</w:t>
      </w:r>
      <w:r>
        <w:rPr>
          <w:rFonts w:eastAsia="仿宋" w:hint="eastAsia"/>
          <w:b w:val="0"/>
          <w:bCs/>
          <w:color w:val="auto"/>
        </w:rPr>
        <w:t>吉林省</w:t>
      </w:r>
      <w:r>
        <w:rPr>
          <w:rFonts w:eastAsia="仿宋"/>
          <w:b w:val="0"/>
          <w:bCs/>
          <w:color w:val="auto"/>
        </w:rPr>
        <w:t>OLED</w:t>
      </w:r>
      <w:r>
        <w:rPr>
          <w:rFonts w:eastAsia="仿宋"/>
          <w:b w:val="0"/>
          <w:bCs/>
          <w:color w:val="auto"/>
        </w:rPr>
        <w:t>发光材料领域主要申请人排名与技术分布</w:t>
      </w:r>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.1.1.7</w:t>
      </w:r>
      <w:r>
        <w:rPr>
          <w:rFonts w:eastAsia="仿宋" w:hint="eastAsia"/>
          <w:sz w:val="28"/>
          <w:szCs w:val="28"/>
        </w:rPr>
        <w:t>二</w:t>
      </w:r>
      <w:r>
        <w:rPr>
          <w:rFonts w:eastAsia="仿宋"/>
          <w:sz w:val="28"/>
          <w:szCs w:val="28"/>
        </w:rPr>
        <w:t>级技术分支发展分析</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4-1-8</w:t>
      </w:r>
      <w:r>
        <w:rPr>
          <w:rFonts w:eastAsia="仿宋"/>
          <w:sz w:val="24"/>
        </w:rPr>
        <w:t>显示了吉林省</w:t>
      </w:r>
      <w:r>
        <w:rPr>
          <w:rFonts w:eastAsia="仿宋"/>
          <w:sz w:val="24"/>
        </w:rPr>
        <w:t>OLED</w:t>
      </w:r>
      <w:r>
        <w:rPr>
          <w:rFonts w:eastAsia="仿宋"/>
          <w:sz w:val="24"/>
        </w:rPr>
        <w:t>发光材料产业的二级技术分支的专利申请变化趋势。对于</w:t>
      </w:r>
      <w:r>
        <w:rPr>
          <w:rFonts w:eastAsia="仿宋"/>
          <w:sz w:val="24"/>
        </w:rPr>
        <w:t>OLED</w:t>
      </w:r>
      <w:r>
        <w:rPr>
          <w:rFonts w:eastAsia="仿宋"/>
          <w:sz w:val="24"/>
        </w:rPr>
        <w:t>发光材料产业，近十年，各个领域均持续产出专利，尤其是发光层，专利申请了持续增多，到</w:t>
      </w:r>
      <w:r>
        <w:rPr>
          <w:rFonts w:eastAsia="仿宋"/>
          <w:sz w:val="24"/>
        </w:rPr>
        <w:t>2018</w:t>
      </w:r>
      <w:r>
        <w:rPr>
          <w:rFonts w:eastAsia="仿宋"/>
          <w:sz w:val="24"/>
        </w:rPr>
        <w:t>年专利申请量达到最多，其他几个分支也有小幅度提高。</w:t>
      </w:r>
    </w:p>
    <w:p w:rsidR="00000000" w:rsidRDefault="000A495B">
      <w:r>
        <w:rPr>
          <w:noProof/>
        </w:rPr>
        <w:drawing>
          <wp:inline distT="0" distB="0" distL="0" distR="0">
            <wp:extent cx="5610225" cy="2686050"/>
            <wp:effectExtent l="0" t="0" r="0" b="0"/>
            <wp:docPr id="3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0225" cy="2686050"/>
                    </a:xfrm>
                    <a:prstGeom prst="rect">
                      <a:avLst/>
                    </a:prstGeom>
                    <a:noFill/>
                    <a:ln>
                      <a:noFill/>
                    </a:ln>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-1-8</w:t>
      </w:r>
      <w:r>
        <w:rPr>
          <w:rFonts w:eastAsia="仿宋" w:hint="eastAsia"/>
          <w:b w:val="0"/>
          <w:bCs/>
          <w:color w:val="auto"/>
        </w:rPr>
        <w:t>吉林省</w:t>
      </w:r>
      <w:r>
        <w:rPr>
          <w:rFonts w:eastAsia="仿宋"/>
          <w:b w:val="0"/>
          <w:bCs/>
          <w:color w:val="auto"/>
        </w:rPr>
        <w:t>OLED</w:t>
      </w:r>
      <w:r>
        <w:rPr>
          <w:rFonts w:eastAsia="仿宋"/>
          <w:b w:val="0"/>
          <w:bCs/>
          <w:color w:val="auto"/>
        </w:rPr>
        <w:t>发光材料</w:t>
      </w:r>
      <w:r>
        <w:rPr>
          <w:rFonts w:eastAsia="仿宋" w:hint="eastAsia"/>
          <w:b w:val="0"/>
          <w:bCs/>
          <w:color w:val="auto"/>
        </w:rPr>
        <w:t>二</w:t>
      </w:r>
      <w:r>
        <w:rPr>
          <w:rFonts w:eastAsia="仿宋"/>
          <w:b w:val="0"/>
          <w:bCs/>
          <w:color w:val="auto"/>
        </w:rPr>
        <w:t>级技术分支申请趋势</w:t>
      </w:r>
    </w:p>
    <w:p w:rsidR="00000000" w:rsidRDefault="00000000">
      <w:pPr>
        <w:pStyle w:val="3"/>
        <w:spacing w:beforeLines="50" w:before="156" w:afterLines="50" w:after="156" w:line="440" w:lineRule="exact"/>
        <w:rPr>
          <w:rFonts w:eastAsia="楷体"/>
          <w:sz w:val="28"/>
        </w:rPr>
      </w:pPr>
      <w:bookmarkStart w:id="431" w:name="_Toc21"/>
      <w:bookmarkStart w:id="432" w:name="_Toc6674"/>
      <w:bookmarkStart w:id="433" w:name="_Toc30875"/>
      <w:bookmarkStart w:id="434" w:name="_Toc9813"/>
      <w:bookmarkStart w:id="435" w:name="_Toc8135"/>
      <w:bookmarkStart w:id="436" w:name="_Toc6535"/>
      <w:bookmarkStart w:id="437" w:name="_Toc21853"/>
      <w:bookmarkStart w:id="438" w:name="_Toc30341"/>
      <w:bookmarkStart w:id="439" w:name="_Toc23820"/>
      <w:bookmarkStart w:id="440" w:name="_Toc81317121"/>
      <w:bookmarkStart w:id="441" w:name="_Toc14895"/>
      <w:bookmarkStart w:id="442" w:name="_Toc25874"/>
      <w:bookmarkStart w:id="443" w:name="_Toc21127"/>
      <w:r>
        <w:rPr>
          <w:rFonts w:eastAsia="楷体"/>
          <w:sz w:val="28"/>
        </w:rPr>
        <w:lastRenderedPageBreak/>
        <w:t>4.1.2</w:t>
      </w:r>
      <w:r>
        <w:rPr>
          <w:rFonts w:eastAsia="楷体"/>
          <w:sz w:val="28"/>
        </w:rPr>
        <w:t>吉林省专利布局情况与全球、全国专利布局对比</w:t>
      </w:r>
      <w:bookmarkEnd w:id="431"/>
      <w:bookmarkEnd w:id="432"/>
      <w:bookmarkEnd w:id="433"/>
      <w:bookmarkEnd w:id="434"/>
      <w:bookmarkEnd w:id="435"/>
      <w:bookmarkEnd w:id="436"/>
      <w:bookmarkEnd w:id="437"/>
      <w:bookmarkEnd w:id="438"/>
      <w:bookmarkEnd w:id="439"/>
      <w:bookmarkEnd w:id="440"/>
      <w:bookmarkEnd w:id="441"/>
      <w:bookmarkEnd w:id="442"/>
      <w:bookmarkEnd w:id="443"/>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.1.2.1</w:t>
      </w:r>
      <w:r>
        <w:rPr>
          <w:rFonts w:eastAsia="仿宋"/>
          <w:sz w:val="28"/>
          <w:szCs w:val="28"/>
        </w:rPr>
        <w:t>专利申请趋势对比</w:t>
      </w:r>
    </w:p>
    <w:p w:rsidR="00000000" w:rsidRDefault="00000000">
      <w:pPr>
        <w:widowControl/>
        <w:spacing w:line="440" w:lineRule="exact"/>
        <w:ind w:firstLineChars="200" w:firstLine="480"/>
        <w:jc w:val="left"/>
        <w:rPr>
          <w:rFonts w:eastAsia="仿宋"/>
          <w:sz w:val="24"/>
        </w:rPr>
      </w:pPr>
      <w:r>
        <w:rPr>
          <w:rFonts w:eastAsia="仿宋"/>
          <w:sz w:val="24"/>
        </w:rPr>
        <w:t>如图</w:t>
      </w:r>
      <w:r>
        <w:rPr>
          <w:rFonts w:eastAsia="仿宋"/>
          <w:sz w:val="24"/>
        </w:rPr>
        <w:t>4-1-9</w:t>
      </w:r>
      <w:r>
        <w:rPr>
          <w:rFonts w:eastAsia="仿宋"/>
          <w:sz w:val="24"/>
        </w:rPr>
        <w:t>所示，</w:t>
      </w:r>
      <w:r>
        <w:rPr>
          <w:rFonts w:eastAsia="仿宋"/>
          <w:sz w:val="24"/>
        </w:rPr>
        <w:t>OLED</w:t>
      </w:r>
      <w:r>
        <w:rPr>
          <w:rFonts w:eastAsia="仿宋"/>
          <w:sz w:val="24"/>
        </w:rPr>
        <w:t>发光材料领域全球、全国、吉林省的专利申请趋势对比。对于</w:t>
      </w:r>
      <w:r>
        <w:rPr>
          <w:rFonts w:eastAsia="仿宋"/>
          <w:sz w:val="24"/>
        </w:rPr>
        <w:t>OLED</w:t>
      </w:r>
      <w:r>
        <w:rPr>
          <w:rFonts w:eastAsia="仿宋"/>
          <w:sz w:val="24"/>
        </w:rPr>
        <w:t>发光材料领域，从全球视角来看，从</w:t>
      </w:r>
      <w:r>
        <w:rPr>
          <w:rFonts w:eastAsia="仿宋"/>
          <w:sz w:val="24"/>
        </w:rPr>
        <w:t>2005</w:t>
      </w:r>
      <w:r>
        <w:rPr>
          <w:rFonts w:eastAsia="仿宋"/>
          <w:sz w:val="24"/>
        </w:rPr>
        <w:t>年开始，</w:t>
      </w:r>
      <w:r>
        <w:rPr>
          <w:rFonts w:eastAsia="仿宋"/>
          <w:sz w:val="24"/>
        </w:rPr>
        <w:t>OLED</w:t>
      </w:r>
      <w:r>
        <w:rPr>
          <w:rFonts w:eastAsia="仿宋"/>
          <w:sz w:val="24"/>
        </w:rPr>
        <w:t>发光材料领域的专利申请量逐年呈现出稳定增长的态势，在</w:t>
      </w:r>
      <w:r>
        <w:rPr>
          <w:rFonts w:eastAsia="仿宋"/>
          <w:sz w:val="24"/>
        </w:rPr>
        <w:t>2020</w:t>
      </w:r>
      <w:r>
        <w:rPr>
          <w:rFonts w:eastAsia="仿宋"/>
          <w:sz w:val="24"/>
        </w:rPr>
        <w:t>年出现了申请峰值</w:t>
      </w:r>
      <w:r>
        <w:rPr>
          <w:rFonts w:eastAsia="仿宋"/>
          <w:sz w:val="24"/>
        </w:rPr>
        <w:t>3330</w:t>
      </w:r>
      <w:r>
        <w:rPr>
          <w:rFonts w:eastAsia="仿宋"/>
          <w:sz w:val="24"/>
        </w:rPr>
        <w:t>件</w:t>
      </w:r>
      <w:r>
        <w:rPr>
          <w:rFonts w:eastAsia="仿宋"/>
          <w:sz w:val="24"/>
        </w:rPr>
        <w:t>,2020</w:t>
      </w:r>
      <w:r>
        <w:rPr>
          <w:rFonts w:eastAsia="仿宋"/>
          <w:sz w:val="24"/>
        </w:rPr>
        <w:t>年之后，申请量缓慢有所下降；我国在这一领域的专利申请趋势与全球保持一致，同样展现出这一趋势，在</w:t>
      </w:r>
      <w:r>
        <w:rPr>
          <w:rFonts w:eastAsia="仿宋"/>
          <w:sz w:val="24"/>
        </w:rPr>
        <w:t>2021</w:t>
      </w:r>
      <w:r>
        <w:rPr>
          <w:rFonts w:eastAsia="仿宋"/>
          <w:sz w:val="24"/>
        </w:rPr>
        <w:t>年出现了申请峰值</w:t>
      </w:r>
      <w:r>
        <w:rPr>
          <w:rFonts w:eastAsia="仿宋"/>
          <w:sz w:val="24"/>
        </w:rPr>
        <w:t>1603</w:t>
      </w:r>
      <w:r>
        <w:rPr>
          <w:rFonts w:eastAsia="仿宋"/>
          <w:sz w:val="24"/>
        </w:rPr>
        <w:t>件。在吉林省，尽管与全球和国内专利申请量相比，其数量规模相对较小，但吉林省在</w:t>
      </w:r>
      <w:r>
        <w:rPr>
          <w:rFonts w:eastAsia="仿宋"/>
          <w:sz w:val="24"/>
        </w:rPr>
        <w:t>OLED</w:t>
      </w:r>
      <w:r>
        <w:rPr>
          <w:rFonts w:eastAsia="仿宋"/>
          <w:sz w:val="24"/>
        </w:rPr>
        <w:t>发光材料领域的专利申请正在积极发展。特别是值得一提的是，</w:t>
      </w:r>
      <w:r>
        <w:rPr>
          <w:rFonts w:eastAsia="仿宋"/>
          <w:sz w:val="24"/>
        </w:rPr>
        <w:t>2024</w:t>
      </w:r>
      <w:r>
        <w:rPr>
          <w:rFonts w:eastAsia="仿宋"/>
          <w:sz w:val="24"/>
        </w:rPr>
        <w:t>年数据不完整的状态下，吉林省的专利申请量相较于</w:t>
      </w:r>
      <w:r>
        <w:rPr>
          <w:rFonts w:eastAsia="仿宋"/>
          <w:sz w:val="24"/>
        </w:rPr>
        <w:t>2023</w:t>
      </w:r>
      <w:r>
        <w:rPr>
          <w:rFonts w:eastAsia="仿宋"/>
          <w:sz w:val="24"/>
        </w:rPr>
        <w:t>年实现了显著增长，增加了</w:t>
      </w:r>
      <w:r>
        <w:rPr>
          <w:rFonts w:eastAsia="仿宋"/>
          <w:sz w:val="24"/>
        </w:rPr>
        <w:t>9</w:t>
      </w:r>
      <w:r>
        <w:rPr>
          <w:rFonts w:eastAsia="仿宋"/>
          <w:sz w:val="24"/>
        </w:rPr>
        <w:t>件。</w:t>
      </w:r>
    </w:p>
    <w:p w:rsidR="00000000" w:rsidRDefault="000A495B">
      <w:r>
        <w:rPr>
          <w:noProof/>
        </w:rPr>
        <w:drawing>
          <wp:inline distT="0" distB="0" distL="0" distR="0">
            <wp:extent cx="5619115" cy="2419350"/>
            <wp:effectExtent l="0" t="0" r="0" b="0"/>
            <wp:docPr id="33"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1-9OLED</w:t>
      </w:r>
      <w:r>
        <w:rPr>
          <w:rFonts w:eastAsia="仿宋"/>
          <w:b w:val="0"/>
          <w:bCs/>
          <w:color w:val="auto"/>
        </w:rPr>
        <w:t>发光材料领域全球、全国、</w:t>
      </w:r>
      <w:r>
        <w:rPr>
          <w:rFonts w:eastAsia="仿宋" w:hint="eastAsia"/>
          <w:b w:val="0"/>
          <w:bCs/>
          <w:color w:val="auto"/>
        </w:rPr>
        <w:t>吉林省</w:t>
      </w:r>
      <w:r>
        <w:rPr>
          <w:rFonts w:eastAsia="仿宋"/>
          <w:b w:val="0"/>
          <w:bCs/>
          <w:color w:val="auto"/>
        </w:rPr>
        <w:t>的专利申请趋势对比</w:t>
      </w:r>
    </w:p>
    <w:p w:rsidR="00000000" w:rsidRDefault="00000000">
      <w:pPr>
        <w:pStyle w:val="sy4"/>
        <w:spacing w:beforeLines="50" w:before="156" w:afterLines="50" w:after="156"/>
        <w:rPr>
          <w:rFonts w:eastAsia="仿宋"/>
          <w:sz w:val="28"/>
          <w:szCs w:val="28"/>
        </w:rPr>
      </w:pPr>
      <w:r>
        <w:rPr>
          <w:rFonts w:eastAsia="仿宋" w:hint="eastAsia"/>
          <w:sz w:val="28"/>
          <w:szCs w:val="28"/>
        </w:rPr>
        <w:t>4</w:t>
      </w:r>
      <w:r>
        <w:rPr>
          <w:rFonts w:eastAsia="仿宋"/>
          <w:sz w:val="28"/>
          <w:szCs w:val="28"/>
        </w:rPr>
        <w:t>.1.2.2</w:t>
      </w:r>
      <w:r>
        <w:rPr>
          <w:rFonts w:eastAsia="仿宋" w:hint="eastAsia"/>
          <w:sz w:val="28"/>
          <w:szCs w:val="28"/>
        </w:rPr>
        <w:t>二</w:t>
      </w:r>
      <w:r>
        <w:rPr>
          <w:rFonts w:eastAsia="仿宋"/>
          <w:sz w:val="28"/>
          <w:szCs w:val="28"/>
        </w:rPr>
        <w:t>级技术分支技术构成对比</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4-1-10</w:t>
      </w:r>
      <w:r>
        <w:rPr>
          <w:rFonts w:eastAsia="仿宋"/>
          <w:sz w:val="24"/>
        </w:rPr>
        <w:t>为全球、全国和吉林省</w:t>
      </w:r>
      <w:r>
        <w:rPr>
          <w:rFonts w:eastAsia="仿宋"/>
          <w:sz w:val="24"/>
        </w:rPr>
        <w:t>OLED</w:t>
      </w:r>
      <w:r>
        <w:rPr>
          <w:rFonts w:eastAsia="仿宋"/>
          <w:sz w:val="24"/>
        </w:rPr>
        <w:t>发光材料领域主要技术构成情况，由外向内三个环分别代表全球申请、中国申请和吉林省申请技术分布情况。</w:t>
      </w:r>
    </w:p>
    <w:p w:rsidR="00000000" w:rsidRDefault="00000000">
      <w:pPr>
        <w:widowControl/>
        <w:spacing w:line="440" w:lineRule="exact"/>
        <w:ind w:firstLineChars="200" w:firstLine="480"/>
        <w:jc w:val="left"/>
        <w:rPr>
          <w:rFonts w:eastAsia="仿宋"/>
          <w:sz w:val="24"/>
        </w:rPr>
      </w:pPr>
      <w:r>
        <w:rPr>
          <w:rFonts w:eastAsia="仿宋"/>
          <w:sz w:val="24"/>
        </w:rPr>
        <w:t>吉林省</w:t>
      </w:r>
      <w:r>
        <w:rPr>
          <w:rFonts w:eastAsia="仿宋"/>
          <w:sz w:val="24"/>
        </w:rPr>
        <w:t>OLED</w:t>
      </w:r>
      <w:r>
        <w:rPr>
          <w:rFonts w:eastAsia="仿宋"/>
          <w:sz w:val="24"/>
        </w:rPr>
        <w:t>发光材料领域主要技术构成包括发光层、空穴功能层、电子传输层和界面修饰层。从图中可见，全球申请中，排名相对靠前的技术分支为发光层、空穴功能层、电子传输层，申请量分别为</w:t>
      </w:r>
      <w:r>
        <w:rPr>
          <w:rFonts w:eastAsia="仿宋"/>
          <w:sz w:val="24"/>
        </w:rPr>
        <w:t>34771</w:t>
      </w:r>
      <w:r>
        <w:rPr>
          <w:rFonts w:eastAsia="仿宋"/>
          <w:sz w:val="24"/>
        </w:rPr>
        <w:t>件、</w:t>
      </w:r>
      <w:r>
        <w:rPr>
          <w:rFonts w:eastAsia="仿宋"/>
          <w:sz w:val="24"/>
        </w:rPr>
        <w:t>7352</w:t>
      </w:r>
      <w:r>
        <w:rPr>
          <w:rFonts w:eastAsia="仿宋"/>
          <w:sz w:val="24"/>
        </w:rPr>
        <w:t>和</w:t>
      </w:r>
      <w:r>
        <w:rPr>
          <w:rFonts w:eastAsia="仿宋"/>
          <w:sz w:val="24"/>
        </w:rPr>
        <w:t>7086</w:t>
      </w:r>
      <w:r>
        <w:rPr>
          <w:rFonts w:eastAsia="仿宋"/>
          <w:sz w:val="24"/>
        </w:rPr>
        <w:t>件；在中国申请中，排名相对靠前的技术分支为发光层，申请量分别为</w:t>
      </w:r>
      <w:r>
        <w:rPr>
          <w:rFonts w:eastAsia="仿宋"/>
          <w:sz w:val="24"/>
        </w:rPr>
        <w:t>11245</w:t>
      </w:r>
      <w:r>
        <w:rPr>
          <w:rFonts w:eastAsia="仿宋"/>
          <w:sz w:val="24"/>
        </w:rPr>
        <w:t>件；在吉林省中，排名相对靠前的技术分支为发光层、空穴功能层，申请量分别为</w:t>
      </w:r>
      <w:r>
        <w:rPr>
          <w:rFonts w:eastAsia="仿宋"/>
          <w:sz w:val="24"/>
        </w:rPr>
        <w:t>556</w:t>
      </w:r>
      <w:r>
        <w:rPr>
          <w:rFonts w:eastAsia="仿宋"/>
          <w:sz w:val="24"/>
        </w:rPr>
        <w:t>和</w:t>
      </w:r>
      <w:r>
        <w:rPr>
          <w:rFonts w:eastAsia="仿宋"/>
          <w:sz w:val="24"/>
        </w:rPr>
        <w:t>209</w:t>
      </w:r>
      <w:r>
        <w:rPr>
          <w:rFonts w:eastAsia="仿宋"/>
          <w:sz w:val="24"/>
        </w:rPr>
        <w:t>件，这种技术构成与全球和中国卫星遥感的主要技术分布趋势近似。</w:t>
      </w:r>
    </w:p>
    <w:p w:rsidR="00000000" w:rsidRDefault="000A495B">
      <w:pPr>
        <w:jc w:val="center"/>
      </w:pPr>
      <w:r>
        <w:rPr>
          <w:noProof/>
        </w:rPr>
        <w:lastRenderedPageBreak/>
        <w:drawing>
          <wp:inline distT="0" distB="0" distL="0" distR="0">
            <wp:extent cx="3600450" cy="3533775"/>
            <wp:effectExtent l="0" t="0" r="0" b="0"/>
            <wp:docPr id="34"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450" cy="3533775"/>
                    </a:xfrm>
                    <a:prstGeom prst="rect">
                      <a:avLst/>
                    </a:prstGeom>
                    <a:noFill/>
                    <a:ln>
                      <a:noFill/>
                    </a:ln>
                    <a:effectLst/>
                  </pic:spPr>
                </pic:pic>
              </a:graphicData>
            </a:graphic>
          </wp:inline>
        </w:drawing>
      </w:r>
    </w:p>
    <w:p w:rsidR="00000000" w:rsidRDefault="00000000">
      <w:pPr>
        <w:pStyle w:val="zy"/>
        <w:spacing w:beforeLines="0" w:afterLines="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-1-10</w:t>
      </w:r>
      <w:r>
        <w:rPr>
          <w:rFonts w:eastAsia="仿宋"/>
          <w:b w:val="0"/>
          <w:bCs/>
          <w:color w:val="auto"/>
        </w:rPr>
        <w:t>全球、全国和</w:t>
      </w:r>
      <w:r>
        <w:rPr>
          <w:rFonts w:eastAsia="仿宋" w:hint="eastAsia"/>
          <w:b w:val="0"/>
          <w:bCs/>
          <w:color w:val="auto"/>
        </w:rPr>
        <w:t>吉林省</w:t>
      </w:r>
      <w:r>
        <w:rPr>
          <w:rFonts w:eastAsia="仿宋"/>
          <w:b w:val="0"/>
          <w:bCs/>
          <w:color w:val="auto"/>
        </w:rPr>
        <w:t>OLED</w:t>
      </w:r>
      <w:r>
        <w:rPr>
          <w:rFonts w:eastAsia="仿宋"/>
          <w:b w:val="0"/>
          <w:bCs/>
          <w:color w:val="auto"/>
        </w:rPr>
        <w:t>发光材料领域主要技术构成情况</w:t>
      </w:r>
    </w:p>
    <w:p w:rsidR="00000000" w:rsidRDefault="00000000">
      <w:pPr>
        <w:widowControl/>
        <w:spacing w:line="440" w:lineRule="exact"/>
        <w:ind w:firstLineChars="200" w:firstLine="480"/>
        <w:jc w:val="left"/>
        <w:rPr>
          <w:rFonts w:eastAsia="仿宋"/>
          <w:sz w:val="24"/>
        </w:rPr>
      </w:pPr>
      <w:bookmarkStart w:id="444" w:name="_Toc81317125"/>
      <w:r>
        <w:rPr>
          <w:rFonts w:eastAsia="仿宋"/>
          <w:sz w:val="24"/>
        </w:rPr>
        <w:t>总体而言，吉林省在</w:t>
      </w:r>
      <w:r>
        <w:rPr>
          <w:rFonts w:eastAsia="仿宋"/>
          <w:sz w:val="24"/>
        </w:rPr>
        <w:t>OLED</w:t>
      </w:r>
      <w:r>
        <w:rPr>
          <w:rFonts w:eastAsia="仿宋"/>
          <w:sz w:val="24"/>
        </w:rPr>
        <w:t>发光材料领域的技术构成中展现了一致以及独特的特点，在面对国内外激烈的竞争环境，吉林省仍需继续加强技术研发和专利布局。</w:t>
      </w:r>
    </w:p>
    <w:p w:rsidR="00000000" w:rsidRDefault="00000000">
      <w:pPr>
        <w:pStyle w:val="2"/>
        <w:spacing w:before="156" w:after="156"/>
        <w:jc w:val="both"/>
        <w:rPr>
          <w:rFonts w:eastAsia="宋体"/>
          <w:szCs w:val="28"/>
        </w:rPr>
      </w:pPr>
      <w:bookmarkStart w:id="445" w:name="_Toc20511"/>
      <w:bookmarkStart w:id="446" w:name="_Toc5743"/>
      <w:bookmarkStart w:id="447" w:name="_Toc15819"/>
      <w:bookmarkStart w:id="448" w:name="_Toc23356"/>
      <w:bookmarkStart w:id="449" w:name="_Toc32428"/>
      <w:bookmarkStart w:id="450" w:name="_Toc20528"/>
      <w:bookmarkStart w:id="451" w:name="_Toc2111"/>
      <w:bookmarkStart w:id="452" w:name="_Toc26413"/>
      <w:bookmarkStart w:id="453" w:name="_Toc9447"/>
      <w:bookmarkStart w:id="454" w:name="_Toc6540"/>
      <w:bookmarkStart w:id="455" w:name="_Toc1667"/>
      <w:bookmarkStart w:id="456" w:name="_Toc7055"/>
      <w:r>
        <w:rPr>
          <w:rFonts w:eastAsia="宋体"/>
          <w:szCs w:val="28"/>
        </w:rPr>
        <w:t>4.2</w:t>
      </w:r>
      <w:r>
        <w:rPr>
          <w:rFonts w:eastAsia="宋体"/>
          <w:szCs w:val="28"/>
        </w:rPr>
        <w:t>吉林省</w:t>
      </w:r>
      <w:r>
        <w:rPr>
          <w:rFonts w:eastAsia="宋体"/>
          <w:szCs w:val="28"/>
        </w:rPr>
        <w:t>OLED</w:t>
      </w:r>
      <w:r>
        <w:rPr>
          <w:rFonts w:eastAsia="宋体"/>
          <w:szCs w:val="28"/>
        </w:rPr>
        <w:t>发光材料产业企业创新实力分析</w:t>
      </w:r>
      <w:bookmarkEnd w:id="445"/>
      <w:bookmarkEnd w:id="446"/>
      <w:bookmarkEnd w:id="447"/>
      <w:bookmarkEnd w:id="448"/>
      <w:bookmarkEnd w:id="449"/>
      <w:bookmarkEnd w:id="450"/>
      <w:bookmarkEnd w:id="451"/>
      <w:bookmarkEnd w:id="452"/>
      <w:bookmarkEnd w:id="453"/>
      <w:bookmarkEnd w:id="454"/>
      <w:bookmarkEnd w:id="455"/>
      <w:bookmarkEnd w:id="456"/>
    </w:p>
    <w:p w:rsidR="00000000" w:rsidRDefault="00000000">
      <w:pPr>
        <w:pStyle w:val="3"/>
        <w:spacing w:beforeLines="50" w:before="156" w:afterLines="50" w:after="156" w:line="440" w:lineRule="exact"/>
        <w:rPr>
          <w:rFonts w:eastAsia="楷体"/>
          <w:sz w:val="28"/>
        </w:rPr>
      </w:pPr>
      <w:bookmarkStart w:id="457" w:name="_Toc20099"/>
      <w:bookmarkStart w:id="458" w:name="_Toc21341"/>
      <w:bookmarkStart w:id="459" w:name="_Toc32683"/>
      <w:bookmarkStart w:id="460" w:name="_Toc20791"/>
      <w:bookmarkStart w:id="461" w:name="_Toc16049"/>
      <w:bookmarkStart w:id="462" w:name="_Toc25840"/>
      <w:bookmarkStart w:id="463" w:name="_Toc21288"/>
      <w:bookmarkStart w:id="464" w:name="_Toc24590"/>
      <w:bookmarkStart w:id="465" w:name="_Toc30309"/>
      <w:bookmarkStart w:id="466" w:name="_Toc28763"/>
      <w:bookmarkStart w:id="467" w:name="_Toc17049"/>
      <w:bookmarkStart w:id="468" w:name="_Toc2391"/>
      <w:r>
        <w:rPr>
          <w:rFonts w:eastAsia="楷体"/>
          <w:sz w:val="28"/>
        </w:rPr>
        <w:t>4.2.1</w:t>
      </w:r>
      <w:r>
        <w:rPr>
          <w:rFonts w:eastAsia="楷体"/>
          <w:sz w:val="28"/>
        </w:rPr>
        <w:t>吉林省</w:t>
      </w:r>
      <w:r>
        <w:rPr>
          <w:rFonts w:eastAsia="楷体"/>
          <w:sz w:val="28"/>
        </w:rPr>
        <w:t>OLED</w:t>
      </w:r>
      <w:r>
        <w:rPr>
          <w:rFonts w:eastAsia="楷体"/>
          <w:sz w:val="28"/>
        </w:rPr>
        <w:t>发光材料产业企业专利布局</w:t>
      </w:r>
      <w:bookmarkEnd w:id="444"/>
      <w:r>
        <w:rPr>
          <w:rFonts w:eastAsia="楷体"/>
          <w:sz w:val="28"/>
        </w:rPr>
        <w:t>情况</w:t>
      </w:r>
      <w:bookmarkEnd w:id="457"/>
      <w:bookmarkEnd w:id="458"/>
      <w:bookmarkEnd w:id="459"/>
      <w:bookmarkEnd w:id="460"/>
      <w:bookmarkEnd w:id="461"/>
      <w:bookmarkEnd w:id="462"/>
      <w:bookmarkEnd w:id="463"/>
      <w:bookmarkEnd w:id="464"/>
      <w:bookmarkEnd w:id="465"/>
      <w:bookmarkEnd w:id="466"/>
      <w:bookmarkEnd w:id="467"/>
      <w:bookmarkEnd w:id="468"/>
    </w:p>
    <w:p w:rsidR="00000000" w:rsidRDefault="00000000">
      <w:pPr>
        <w:widowControl/>
        <w:spacing w:line="440" w:lineRule="exact"/>
        <w:ind w:firstLineChars="200" w:firstLine="480"/>
        <w:jc w:val="left"/>
        <w:rPr>
          <w:rFonts w:eastAsia="仿宋"/>
          <w:sz w:val="24"/>
        </w:rPr>
      </w:pPr>
      <w:r>
        <w:rPr>
          <w:rFonts w:eastAsia="仿宋"/>
          <w:sz w:val="24"/>
        </w:rPr>
        <w:t>将吉林省</w:t>
      </w:r>
      <w:r>
        <w:rPr>
          <w:rFonts w:eastAsia="仿宋"/>
          <w:sz w:val="24"/>
        </w:rPr>
        <w:t>OLED</w:t>
      </w:r>
      <w:r>
        <w:rPr>
          <w:rFonts w:eastAsia="仿宋"/>
          <w:sz w:val="24"/>
        </w:rPr>
        <w:t>发光材料领域排名前十申请人中的重点申请人按照该领域的几个技术分支进分析，得出如图</w:t>
      </w:r>
      <w:r>
        <w:rPr>
          <w:rFonts w:eastAsia="仿宋"/>
          <w:sz w:val="24"/>
        </w:rPr>
        <w:t>4-2-1</w:t>
      </w:r>
      <w:r>
        <w:rPr>
          <w:rFonts w:eastAsia="仿宋"/>
          <w:sz w:val="24"/>
        </w:rPr>
        <w:t>所示的吉林省</w:t>
      </w:r>
      <w:r>
        <w:rPr>
          <w:rFonts w:eastAsia="仿宋"/>
          <w:sz w:val="24"/>
        </w:rPr>
        <w:t>OLED</w:t>
      </w:r>
      <w:r>
        <w:rPr>
          <w:rFonts w:eastAsia="仿宋"/>
          <w:sz w:val="24"/>
        </w:rPr>
        <w:t>发光材料领域部分企业在各技术分支上的专利申请情况。对于</w:t>
      </w:r>
      <w:r>
        <w:rPr>
          <w:rFonts w:eastAsia="仿宋"/>
          <w:sz w:val="24"/>
        </w:rPr>
        <w:t>OLED</w:t>
      </w:r>
      <w:r>
        <w:rPr>
          <w:rFonts w:eastAsia="仿宋"/>
          <w:sz w:val="24"/>
        </w:rPr>
        <w:t>发光材料领域，从图表中可以看出，在这一领域，长春海谱润斯科技股份有限公司和吉林奥来德光电材料股份有限公司凭借其深厚的研发实力，其专利申请基本是占了全部申请量的</w:t>
      </w:r>
      <w:r>
        <w:rPr>
          <w:rFonts w:eastAsia="仿宋"/>
          <w:sz w:val="24"/>
        </w:rPr>
        <w:t>80%</w:t>
      </w:r>
      <w:r>
        <w:rPr>
          <w:rFonts w:eastAsia="仿宋"/>
          <w:sz w:val="24"/>
        </w:rPr>
        <w:t>以上。这一趋势也提醒着吉林省的企业，在</w:t>
      </w:r>
      <w:r>
        <w:rPr>
          <w:rFonts w:eastAsia="仿宋"/>
          <w:sz w:val="24"/>
        </w:rPr>
        <w:t>OLED</w:t>
      </w:r>
      <w:r>
        <w:rPr>
          <w:rFonts w:eastAsia="仿宋"/>
          <w:sz w:val="24"/>
        </w:rPr>
        <w:t>发光材料领域，除了巩固自身的技术优势外，还应积极探索新的技术分支，拓宽技术布局，以提升整个吉林省</w:t>
      </w:r>
      <w:r>
        <w:rPr>
          <w:rFonts w:eastAsia="仿宋"/>
          <w:sz w:val="24"/>
        </w:rPr>
        <w:t>OLED</w:t>
      </w:r>
      <w:r>
        <w:rPr>
          <w:rFonts w:eastAsia="仿宋"/>
          <w:sz w:val="24"/>
        </w:rPr>
        <w:t>发光材料领域的整体竞争力。</w:t>
      </w:r>
    </w:p>
    <w:p w:rsidR="00000000" w:rsidRDefault="000A495B">
      <w:pPr>
        <w:jc w:val="center"/>
      </w:pPr>
      <w:r>
        <w:rPr>
          <w:noProof/>
        </w:rPr>
        <w:lastRenderedPageBreak/>
        <w:drawing>
          <wp:inline distT="0" distB="0" distL="0" distR="0">
            <wp:extent cx="5610225" cy="2514600"/>
            <wp:effectExtent l="0" t="0" r="0" b="0"/>
            <wp:docPr id="35"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49">
                      <a:extLst>
                        <a:ext uri="{28A0092B-C50C-407E-A947-70E740481C1C}">
                          <a14:useLocalDpi xmlns:a14="http://schemas.microsoft.com/office/drawing/2010/main" val="0"/>
                        </a:ext>
                      </a:extLst>
                    </a:blip>
                    <a:srcRect t="6226"/>
                    <a:stretch>
                      <a:fillRect/>
                    </a:stretch>
                  </pic:blipFill>
                  <pic:spPr bwMode="auto">
                    <a:xfrm>
                      <a:off x="0" y="0"/>
                      <a:ext cx="5610225" cy="2514600"/>
                    </a:xfrm>
                    <a:prstGeom prst="rect">
                      <a:avLst/>
                    </a:prstGeom>
                    <a:noFill/>
                    <a:ln>
                      <a:noFill/>
                    </a:ln>
                    <a:effectLst/>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-2-1OLED</w:t>
      </w:r>
      <w:r>
        <w:rPr>
          <w:rFonts w:eastAsia="仿宋"/>
          <w:b w:val="0"/>
          <w:bCs/>
          <w:color w:val="auto"/>
        </w:rPr>
        <w:t>发光材料领域部分申请人在各技术分支上的专利申请情况</w:t>
      </w:r>
    </w:p>
    <w:p w:rsidR="00000000" w:rsidRDefault="00000000">
      <w:pPr>
        <w:pStyle w:val="3"/>
        <w:spacing w:beforeLines="50" w:before="156" w:afterLines="50" w:after="156" w:line="440" w:lineRule="exact"/>
        <w:rPr>
          <w:rFonts w:eastAsia="楷体"/>
          <w:sz w:val="28"/>
        </w:rPr>
      </w:pPr>
      <w:bookmarkStart w:id="469" w:name="_Toc6479"/>
      <w:bookmarkStart w:id="470" w:name="_Toc12292"/>
      <w:bookmarkStart w:id="471" w:name="_Toc27778"/>
      <w:bookmarkStart w:id="472" w:name="_Toc30004"/>
      <w:bookmarkStart w:id="473" w:name="_Toc30958"/>
      <w:bookmarkStart w:id="474" w:name="_Toc15513"/>
      <w:bookmarkStart w:id="475" w:name="_Toc28385"/>
      <w:bookmarkStart w:id="476" w:name="_Toc24629"/>
      <w:bookmarkStart w:id="477" w:name="_Toc18595"/>
      <w:bookmarkStart w:id="478" w:name="_Toc26380"/>
      <w:bookmarkStart w:id="479" w:name="_Toc12684"/>
      <w:bookmarkStart w:id="480" w:name="_Toc17863"/>
      <w:r>
        <w:rPr>
          <w:rFonts w:eastAsia="楷体"/>
          <w:sz w:val="28"/>
        </w:rPr>
        <w:t>4.2.2</w:t>
      </w:r>
      <w:r>
        <w:rPr>
          <w:rFonts w:eastAsia="楷体"/>
          <w:sz w:val="28"/>
        </w:rPr>
        <w:t>吉林省</w:t>
      </w:r>
      <w:r>
        <w:rPr>
          <w:rFonts w:eastAsia="楷体"/>
          <w:sz w:val="28"/>
        </w:rPr>
        <w:t>OLED</w:t>
      </w:r>
      <w:r>
        <w:rPr>
          <w:rFonts w:eastAsia="楷体"/>
          <w:sz w:val="28"/>
        </w:rPr>
        <w:t>发光材料领域重点人才分析</w:t>
      </w:r>
      <w:bookmarkEnd w:id="469"/>
      <w:bookmarkEnd w:id="470"/>
      <w:bookmarkEnd w:id="471"/>
      <w:bookmarkEnd w:id="472"/>
      <w:bookmarkEnd w:id="473"/>
      <w:bookmarkEnd w:id="474"/>
      <w:bookmarkEnd w:id="475"/>
      <w:bookmarkEnd w:id="476"/>
      <w:bookmarkEnd w:id="477"/>
      <w:bookmarkEnd w:id="478"/>
      <w:bookmarkEnd w:id="479"/>
      <w:bookmarkEnd w:id="480"/>
    </w:p>
    <w:p w:rsidR="00000000" w:rsidRDefault="00000000">
      <w:pPr>
        <w:widowControl/>
        <w:spacing w:line="440" w:lineRule="exact"/>
        <w:ind w:firstLineChars="200" w:firstLine="480"/>
        <w:jc w:val="left"/>
        <w:rPr>
          <w:rFonts w:eastAsia="仿宋"/>
          <w:sz w:val="24"/>
        </w:rPr>
      </w:pPr>
      <w:r>
        <w:rPr>
          <w:rFonts w:eastAsia="仿宋"/>
          <w:sz w:val="24"/>
        </w:rPr>
        <w:t>将</w:t>
      </w:r>
      <w:r>
        <w:rPr>
          <w:rFonts w:eastAsia="仿宋"/>
          <w:sz w:val="24"/>
        </w:rPr>
        <w:t>OLED</w:t>
      </w:r>
      <w:r>
        <w:rPr>
          <w:rFonts w:eastAsia="仿宋"/>
          <w:sz w:val="24"/>
        </w:rPr>
        <w:t>发光材料领域申请专利最多的发明人进行统计，我们得到图</w:t>
      </w:r>
      <w:r>
        <w:rPr>
          <w:rFonts w:eastAsia="仿宋"/>
          <w:sz w:val="24"/>
        </w:rPr>
        <w:t>4-2-2</w:t>
      </w:r>
      <w:r>
        <w:rPr>
          <w:rFonts w:eastAsia="仿宋"/>
          <w:sz w:val="24"/>
        </w:rPr>
        <w:t>，即</w:t>
      </w:r>
      <w:r>
        <w:rPr>
          <w:rFonts w:eastAsia="仿宋"/>
          <w:sz w:val="24"/>
        </w:rPr>
        <w:t>OLED</w:t>
      </w:r>
      <w:r>
        <w:rPr>
          <w:rFonts w:eastAsia="仿宋"/>
          <w:sz w:val="24"/>
        </w:rPr>
        <w:t>发光材料领域重点发明人及侧重技术的分布图。</w:t>
      </w:r>
    </w:p>
    <w:p w:rsidR="00000000" w:rsidRDefault="00000000">
      <w:pPr>
        <w:widowControl/>
        <w:spacing w:line="440" w:lineRule="exact"/>
        <w:ind w:firstLineChars="200" w:firstLine="480"/>
        <w:jc w:val="left"/>
        <w:rPr>
          <w:rFonts w:eastAsia="仿宋"/>
          <w:sz w:val="24"/>
        </w:rPr>
      </w:pPr>
      <w:r>
        <w:rPr>
          <w:rFonts w:eastAsia="仿宋"/>
          <w:sz w:val="24"/>
        </w:rPr>
        <w:t>对于</w:t>
      </w:r>
      <w:r>
        <w:rPr>
          <w:rFonts w:eastAsia="仿宋"/>
          <w:sz w:val="24"/>
        </w:rPr>
        <w:t>OLED</w:t>
      </w:r>
      <w:r>
        <w:rPr>
          <w:rFonts w:eastAsia="仿宋"/>
          <w:sz w:val="24"/>
        </w:rPr>
        <w:t>发光材料领域，我们可以看到蔡辉在该领域的专利申请数量最多，共计</w:t>
      </w:r>
      <w:r>
        <w:rPr>
          <w:rFonts w:eastAsia="仿宋"/>
          <w:sz w:val="24"/>
        </w:rPr>
        <w:t>300</w:t>
      </w:r>
      <w:r>
        <w:rPr>
          <w:rFonts w:eastAsia="仿宋"/>
          <w:sz w:val="24"/>
        </w:rPr>
        <w:t>来件，显示出他在</w:t>
      </w:r>
      <w:r>
        <w:rPr>
          <w:rFonts w:eastAsia="仿宋"/>
          <w:sz w:val="24"/>
        </w:rPr>
        <w:t>OLED</w:t>
      </w:r>
      <w:r>
        <w:rPr>
          <w:rFonts w:eastAsia="仿宋"/>
          <w:sz w:val="24"/>
        </w:rPr>
        <w:t>发光材料领域的卓越贡献和深厚的研究实力。蔡辉的主要研究侧重于发光层。排名第二、第三、第四和第五的马晓宇、汪康、王辉和董秀芹均在发光层方面存在较多申请；他们的贡献和努力共同推动着吉林省</w:t>
      </w:r>
      <w:r>
        <w:rPr>
          <w:rFonts w:eastAsia="仿宋"/>
          <w:sz w:val="24"/>
        </w:rPr>
        <w:t>OLED</w:t>
      </w:r>
      <w:r>
        <w:rPr>
          <w:rFonts w:eastAsia="仿宋"/>
          <w:sz w:val="24"/>
        </w:rPr>
        <w:t>发光材料产业的快速发展和持续创新。</w:t>
      </w:r>
    </w:p>
    <w:p w:rsidR="00000000" w:rsidRDefault="000A495B">
      <w:r>
        <w:rPr>
          <w:noProof/>
        </w:rPr>
        <w:drawing>
          <wp:inline distT="0" distB="0" distL="0" distR="0">
            <wp:extent cx="5610225" cy="2524125"/>
            <wp:effectExtent l="0" t="0" r="0" b="0"/>
            <wp:docPr id="36"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50">
                      <a:extLst>
                        <a:ext uri="{28A0092B-C50C-407E-A947-70E740481C1C}">
                          <a14:useLocalDpi xmlns:a14="http://schemas.microsoft.com/office/drawing/2010/main" val="0"/>
                        </a:ext>
                      </a:extLst>
                    </a:blip>
                    <a:srcRect t="5988"/>
                    <a:stretch>
                      <a:fillRect/>
                    </a:stretch>
                  </pic:blipFill>
                  <pic:spPr bwMode="auto">
                    <a:xfrm>
                      <a:off x="0" y="0"/>
                      <a:ext cx="5610225" cy="2524125"/>
                    </a:xfrm>
                    <a:prstGeom prst="rect">
                      <a:avLst/>
                    </a:prstGeom>
                    <a:noFill/>
                    <a:ln>
                      <a:noFill/>
                    </a:ln>
                    <a:effectLst/>
                  </pic:spPr>
                </pic:pic>
              </a:graphicData>
            </a:graphic>
          </wp:inline>
        </w:drawing>
      </w:r>
    </w:p>
    <w:p w:rsidR="00000000" w:rsidRDefault="00000000">
      <w:pPr>
        <w:pStyle w:val="zy"/>
        <w:spacing w:beforeLines="0" w:before="0" w:afterLines="0" w:after="0"/>
        <w:rPr>
          <w:rFonts w:eastAsia="仿宋"/>
          <w:b w:val="0"/>
          <w:bCs/>
          <w:color w:val="auto"/>
        </w:rPr>
      </w:pPr>
      <w:r>
        <w:rPr>
          <w:rFonts w:eastAsia="仿宋"/>
          <w:b w:val="0"/>
          <w:bCs/>
          <w:color w:val="auto"/>
        </w:rPr>
        <w:t>图</w:t>
      </w:r>
      <w:r>
        <w:rPr>
          <w:rFonts w:eastAsia="仿宋" w:hint="eastAsia"/>
          <w:b w:val="0"/>
          <w:bCs/>
          <w:color w:val="auto"/>
        </w:rPr>
        <w:t>4</w:t>
      </w:r>
      <w:r>
        <w:rPr>
          <w:rFonts w:eastAsia="仿宋"/>
          <w:b w:val="0"/>
          <w:bCs/>
          <w:color w:val="auto"/>
        </w:rPr>
        <w:t>-2-2OLED</w:t>
      </w:r>
      <w:r>
        <w:rPr>
          <w:rFonts w:eastAsia="仿宋"/>
          <w:b w:val="0"/>
          <w:bCs/>
          <w:color w:val="auto"/>
        </w:rPr>
        <w:t>发光材料领域重点发明人及侧重领域</w:t>
      </w:r>
    </w:p>
    <w:p w:rsidR="00000000" w:rsidRDefault="00000000">
      <w:pPr>
        <w:pStyle w:val="2"/>
        <w:spacing w:before="156" w:after="156"/>
        <w:jc w:val="both"/>
        <w:rPr>
          <w:rFonts w:eastAsia="宋体"/>
          <w:szCs w:val="28"/>
        </w:rPr>
      </w:pPr>
      <w:bookmarkStart w:id="481" w:name="_Toc14351"/>
      <w:bookmarkStart w:id="482" w:name="_Toc27618"/>
      <w:bookmarkStart w:id="483" w:name="_Toc7692"/>
      <w:bookmarkStart w:id="484" w:name="_Toc5201"/>
      <w:bookmarkStart w:id="485" w:name="_Toc6267"/>
      <w:bookmarkStart w:id="486" w:name="_Toc23770"/>
      <w:bookmarkStart w:id="487" w:name="_Toc29726"/>
      <w:bookmarkStart w:id="488" w:name="_Toc2513"/>
      <w:bookmarkStart w:id="489" w:name="_Toc394"/>
      <w:bookmarkStart w:id="490" w:name="_Toc9322"/>
      <w:bookmarkStart w:id="491" w:name="_Toc2758"/>
      <w:bookmarkStart w:id="492" w:name="_Toc81317128"/>
      <w:bookmarkStart w:id="493" w:name="_Toc51"/>
      <w:r>
        <w:rPr>
          <w:rFonts w:eastAsia="宋体"/>
          <w:szCs w:val="28"/>
        </w:rPr>
        <w:lastRenderedPageBreak/>
        <w:t>4.3</w:t>
      </w:r>
      <w:r>
        <w:rPr>
          <w:rFonts w:eastAsia="宋体"/>
          <w:szCs w:val="28"/>
        </w:rPr>
        <w:t>本章小结</w:t>
      </w:r>
      <w:bookmarkEnd w:id="481"/>
      <w:bookmarkEnd w:id="482"/>
      <w:bookmarkEnd w:id="483"/>
      <w:bookmarkEnd w:id="484"/>
      <w:bookmarkEnd w:id="485"/>
      <w:bookmarkEnd w:id="486"/>
      <w:bookmarkEnd w:id="487"/>
      <w:bookmarkEnd w:id="488"/>
      <w:bookmarkEnd w:id="489"/>
      <w:bookmarkEnd w:id="490"/>
      <w:bookmarkEnd w:id="491"/>
      <w:bookmarkEnd w:id="492"/>
      <w:bookmarkEnd w:id="493"/>
    </w:p>
    <w:p w:rsidR="00000000" w:rsidRDefault="00000000">
      <w:pPr>
        <w:widowControl/>
        <w:spacing w:line="440" w:lineRule="exact"/>
        <w:ind w:firstLineChars="200" w:firstLine="480"/>
        <w:jc w:val="left"/>
        <w:rPr>
          <w:rFonts w:eastAsia="仿宋"/>
          <w:sz w:val="24"/>
        </w:rPr>
      </w:pPr>
      <w:r>
        <w:rPr>
          <w:rFonts w:eastAsia="仿宋"/>
          <w:sz w:val="24"/>
        </w:rPr>
        <w:t>经过深入研究与分析，我们综合评估了吉林省</w:t>
      </w:r>
      <w:r>
        <w:rPr>
          <w:rFonts w:eastAsia="仿宋"/>
          <w:sz w:val="24"/>
        </w:rPr>
        <w:t>OLED</w:t>
      </w:r>
      <w:r>
        <w:rPr>
          <w:rFonts w:eastAsia="仿宋"/>
          <w:sz w:val="24"/>
        </w:rPr>
        <w:t>发光材料产业的专利信息。通过与全球及全国范围内相关专利技术情况进行对比，我们进一步理解了吉林省在</w:t>
      </w:r>
      <w:r>
        <w:rPr>
          <w:rFonts w:eastAsia="仿宋"/>
          <w:sz w:val="24"/>
        </w:rPr>
        <w:t>OLED</w:t>
      </w:r>
      <w:r>
        <w:rPr>
          <w:rFonts w:eastAsia="仿宋"/>
          <w:sz w:val="24"/>
        </w:rPr>
        <w:t>发光材料产业中的技术地位。同时，对吉林省该产业内的重点企业进行了细致的分析，从而全面掌握了吉林省</w:t>
      </w:r>
      <w:r>
        <w:rPr>
          <w:rFonts w:eastAsia="仿宋"/>
          <w:sz w:val="24"/>
        </w:rPr>
        <w:t>OLED</w:t>
      </w:r>
      <w:r>
        <w:rPr>
          <w:rFonts w:eastAsia="仿宋"/>
          <w:sz w:val="24"/>
        </w:rPr>
        <w:t>发光材料产业的技术状况和发展态势。</w:t>
      </w:r>
    </w:p>
    <w:p w:rsidR="00000000" w:rsidRDefault="00000000">
      <w:pPr>
        <w:widowControl/>
        <w:spacing w:line="440" w:lineRule="exact"/>
        <w:ind w:firstLineChars="200" w:firstLine="480"/>
        <w:jc w:val="left"/>
        <w:rPr>
          <w:rFonts w:eastAsia="仿宋"/>
          <w:sz w:val="24"/>
        </w:rPr>
      </w:pPr>
      <w:r>
        <w:rPr>
          <w:rFonts w:eastAsia="仿宋"/>
          <w:sz w:val="24"/>
        </w:rPr>
        <w:t>具体如下：</w:t>
      </w:r>
    </w:p>
    <w:p w:rsidR="00000000" w:rsidRDefault="00000000">
      <w:pPr>
        <w:widowControl/>
        <w:spacing w:line="440" w:lineRule="exact"/>
        <w:ind w:firstLineChars="200" w:firstLine="480"/>
        <w:jc w:val="left"/>
        <w:rPr>
          <w:rFonts w:eastAsia="仿宋"/>
          <w:sz w:val="24"/>
        </w:rPr>
      </w:pPr>
      <w:bookmarkStart w:id="494" w:name="_Toc18862"/>
      <w:bookmarkStart w:id="495" w:name="_Toc11367"/>
      <w:r>
        <w:rPr>
          <w:rFonts w:eastAsia="仿宋"/>
          <w:sz w:val="24"/>
        </w:rPr>
        <w:t>一、吉林省</w:t>
      </w:r>
      <w:r>
        <w:rPr>
          <w:rFonts w:eastAsia="仿宋"/>
          <w:sz w:val="24"/>
        </w:rPr>
        <w:t>OLED</w:t>
      </w:r>
      <w:r>
        <w:rPr>
          <w:rFonts w:eastAsia="仿宋"/>
          <w:sz w:val="24"/>
        </w:rPr>
        <w:t>发光材料产业专利概况</w:t>
      </w:r>
      <w:bookmarkEnd w:id="494"/>
      <w:bookmarkEnd w:id="495"/>
    </w:p>
    <w:p w:rsidR="00000000" w:rsidRDefault="00000000">
      <w:pPr>
        <w:widowControl/>
        <w:spacing w:line="440" w:lineRule="exact"/>
        <w:ind w:firstLineChars="200" w:firstLine="480"/>
        <w:jc w:val="left"/>
        <w:rPr>
          <w:rFonts w:eastAsia="仿宋"/>
          <w:sz w:val="24"/>
        </w:rPr>
      </w:pPr>
      <w:r>
        <w:rPr>
          <w:rFonts w:eastAsia="仿宋"/>
          <w:sz w:val="24"/>
        </w:rPr>
        <w:t>吉林省在</w:t>
      </w:r>
      <w:r>
        <w:rPr>
          <w:rFonts w:eastAsia="仿宋"/>
          <w:sz w:val="24"/>
        </w:rPr>
        <w:t>OLED</w:t>
      </w:r>
      <w:r>
        <w:rPr>
          <w:rFonts w:eastAsia="仿宋"/>
          <w:sz w:val="24"/>
        </w:rPr>
        <w:t>发光材料领域的申请量整体起步相对较晚，在</w:t>
      </w:r>
      <w:r>
        <w:rPr>
          <w:rFonts w:eastAsia="仿宋"/>
          <w:sz w:val="24"/>
        </w:rPr>
        <w:t>2016</w:t>
      </w:r>
      <w:r>
        <w:rPr>
          <w:rFonts w:eastAsia="仿宋"/>
          <w:sz w:val="24"/>
        </w:rPr>
        <w:t>年之前申请数量较少，申请量基本在</w:t>
      </w:r>
      <w:r>
        <w:rPr>
          <w:rFonts w:eastAsia="仿宋"/>
          <w:sz w:val="24"/>
        </w:rPr>
        <w:t>15</w:t>
      </w:r>
      <w:r>
        <w:rPr>
          <w:rFonts w:eastAsia="仿宋"/>
          <w:sz w:val="24"/>
        </w:rPr>
        <w:t>件之内，从</w:t>
      </w:r>
      <w:r>
        <w:rPr>
          <w:rFonts w:eastAsia="仿宋"/>
          <w:sz w:val="24"/>
        </w:rPr>
        <w:t>2016</w:t>
      </w:r>
      <w:r>
        <w:rPr>
          <w:rFonts w:eastAsia="仿宋"/>
          <w:sz w:val="24"/>
        </w:rPr>
        <w:t>年开始专利申请有所提高，但是整体趋势处于波动状态，申请量最多出现在</w:t>
      </w:r>
      <w:r>
        <w:rPr>
          <w:rFonts w:eastAsia="仿宋"/>
          <w:sz w:val="24"/>
        </w:rPr>
        <w:t>2018</w:t>
      </w:r>
      <w:r>
        <w:rPr>
          <w:rFonts w:eastAsia="仿宋"/>
          <w:sz w:val="24"/>
        </w:rPr>
        <w:t>年的</w:t>
      </w:r>
      <w:r>
        <w:rPr>
          <w:rFonts w:eastAsia="仿宋"/>
          <w:sz w:val="24"/>
        </w:rPr>
        <w:t>212</w:t>
      </w:r>
      <w:r>
        <w:rPr>
          <w:rFonts w:eastAsia="仿宋"/>
          <w:sz w:val="24"/>
        </w:rPr>
        <w:t>件，</w:t>
      </w:r>
      <w:r>
        <w:rPr>
          <w:rFonts w:eastAsia="仿宋"/>
          <w:sz w:val="24"/>
        </w:rPr>
        <w:t>2018</w:t>
      </w:r>
      <w:r>
        <w:rPr>
          <w:rFonts w:eastAsia="仿宋"/>
          <w:sz w:val="24"/>
        </w:rPr>
        <w:t>年之后申请量处于</w:t>
      </w:r>
      <w:r>
        <w:rPr>
          <w:rFonts w:eastAsia="仿宋"/>
          <w:sz w:val="24"/>
        </w:rPr>
        <w:t>45-80</w:t>
      </w:r>
      <w:r>
        <w:rPr>
          <w:rFonts w:eastAsia="仿宋"/>
          <w:sz w:val="24"/>
        </w:rPr>
        <w:t>件之间，整体申请趋势较为平缓。说明吉林省在</w:t>
      </w:r>
      <w:r>
        <w:rPr>
          <w:rFonts w:eastAsia="仿宋"/>
          <w:sz w:val="24"/>
        </w:rPr>
        <w:t>OLED</w:t>
      </w:r>
      <w:r>
        <w:rPr>
          <w:rFonts w:eastAsia="仿宋"/>
          <w:sz w:val="24"/>
        </w:rPr>
        <w:t>发光材料领域的创新活跃度不高。</w:t>
      </w:r>
      <w:bookmarkStart w:id="496" w:name="_Toc37"/>
      <w:bookmarkStart w:id="497" w:name="_Toc447"/>
    </w:p>
    <w:p w:rsidR="00000000" w:rsidRDefault="00000000">
      <w:pPr>
        <w:widowControl/>
        <w:spacing w:line="440" w:lineRule="exact"/>
        <w:ind w:firstLineChars="200" w:firstLine="480"/>
        <w:jc w:val="left"/>
        <w:rPr>
          <w:rFonts w:eastAsia="仿宋"/>
          <w:sz w:val="24"/>
        </w:rPr>
      </w:pPr>
      <w:r>
        <w:rPr>
          <w:rFonts w:eastAsia="仿宋"/>
          <w:sz w:val="24"/>
        </w:rPr>
        <w:t>二、吉林省</w:t>
      </w:r>
      <w:r>
        <w:rPr>
          <w:rFonts w:eastAsia="仿宋"/>
          <w:sz w:val="24"/>
        </w:rPr>
        <w:t>OLED</w:t>
      </w:r>
      <w:r>
        <w:rPr>
          <w:rFonts w:eastAsia="仿宋"/>
          <w:sz w:val="24"/>
        </w:rPr>
        <w:t>发光材料产业专利与全国、全球布局进行对比</w:t>
      </w:r>
      <w:bookmarkEnd w:id="496"/>
      <w:bookmarkEnd w:id="497"/>
    </w:p>
    <w:p w:rsidR="00000000" w:rsidRDefault="00000000">
      <w:pPr>
        <w:widowControl/>
        <w:spacing w:line="440" w:lineRule="exact"/>
        <w:ind w:firstLineChars="200" w:firstLine="480"/>
        <w:jc w:val="left"/>
        <w:rPr>
          <w:rFonts w:eastAsia="仿宋"/>
          <w:sz w:val="24"/>
        </w:rPr>
      </w:pPr>
      <w:r>
        <w:rPr>
          <w:rFonts w:eastAsia="仿宋"/>
          <w:sz w:val="24"/>
        </w:rPr>
        <w:t>对于</w:t>
      </w:r>
      <w:r>
        <w:rPr>
          <w:rFonts w:eastAsia="仿宋"/>
          <w:sz w:val="24"/>
        </w:rPr>
        <w:t>OLED</w:t>
      </w:r>
      <w:r>
        <w:rPr>
          <w:rFonts w:eastAsia="仿宋"/>
          <w:sz w:val="24"/>
        </w:rPr>
        <w:t>发光材料领域，从全球视角来看，从</w:t>
      </w:r>
      <w:r>
        <w:rPr>
          <w:rFonts w:eastAsia="仿宋"/>
          <w:sz w:val="24"/>
        </w:rPr>
        <w:t>2005</w:t>
      </w:r>
      <w:r>
        <w:rPr>
          <w:rFonts w:eastAsia="仿宋"/>
          <w:sz w:val="24"/>
        </w:rPr>
        <w:t>年开始，</w:t>
      </w:r>
      <w:r>
        <w:rPr>
          <w:rFonts w:eastAsia="仿宋"/>
          <w:sz w:val="24"/>
        </w:rPr>
        <w:t>OLED</w:t>
      </w:r>
      <w:r>
        <w:rPr>
          <w:rFonts w:eastAsia="仿宋"/>
          <w:sz w:val="24"/>
        </w:rPr>
        <w:t>发光材料领域的专利申请量逐年呈现出稳定增长的态势，在</w:t>
      </w:r>
      <w:r>
        <w:rPr>
          <w:rFonts w:eastAsia="仿宋"/>
          <w:sz w:val="24"/>
        </w:rPr>
        <w:t>2020</w:t>
      </w:r>
      <w:r>
        <w:rPr>
          <w:rFonts w:eastAsia="仿宋"/>
          <w:sz w:val="24"/>
        </w:rPr>
        <w:t>年出现了申请峰值</w:t>
      </w:r>
      <w:r>
        <w:rPr>
          <w:rFonts w:eastAsia="仿宋"/>
          <w:sz w:val="24"/>
        </w:rPr>
        <w:t>3330</w:t>
      </w:r>
      <w:r>
        <w:rPr>
          <w:rFonts w:eastAsia="仿宋"/>
          <w:sz w:val="24"/>
        </w:rPr>
        <w:t>件</w:t>
      </w:r>
      <w:r>
        <w:rPr>
          <w:rFonts w:eastAsia="仿宋"/>
          <w:sz w:val="24"/>
        </w:rPr>
        <w:t>,2020</w:t>
      </w:r>
      <w:r>
        <w:rPr>
          <w:rFonts w:eastAsia="仿宋"/>
          <w:sz w:val="24"/>
        </w:rPr>
        <w:t>年之后，申请量缓慢有所下降；我国在这一领域的专利申请趋势与全球保持一致，同样展现出这一趋势，在</w:t>
      </w:r>
      <w:r>
        <w:rPr>
          <w:rFonts w:eastAsia="仿宋"/>
          <w:sz w:val="24"/>
        </w:rPr>
        <w:t>2021</w:t>
      </w:r>
      <w:r>
        <w:rPr>
          <w:rFonts w:eastAsia="仿宋"/>
          <w:sz w:val="24"/>
        </w:rPr>
        <w:t>年出现了申请峰值</w:t>
      </w:r>
      <w:r>
        <w:rPr>
          <w:rFonts w:eastAsia="仿宋"/>
          <w:sz w:val="24"/>
        </w:rPr>
        <w:t>1603</w:t>
      </w:r>
      <w:r>
        <w:rPr>
          <w:rFonts w:eastAsia="仿宋"/>
          <w:sz w:val="24"/>
        </w:rPr>
        <w:t>件。在吉林省，尽管与全球和国内专利申请量相比，其数量规模相对较小，但吉林省在</w:t>
      </w:r>
      <w:r>
        <w:rPr>
          <w:rFonts w:eastAsia="仿宋"/>
          <w:sz w:val="24"/>
        </w:rPr>
        <w:t>OLED</w:t>
      </w:r>
      <w:r>
        <w:rPr>
          <w:rFonts w:eastAsia="仿宋"/>
          <w:sz w:val="24"/>
        </w:rPr>
        <w:t>发光材料领域的专利申请正在积极发展。特别是值得一提的是，</w:t>
      </w:r>
      <w:r>
        <w:rPr>
          <w:rFonts w:eastAsia="仿宋"/>
          <w:sz w:val="24"/>
        </w:rPr>
        <w:t>2024</w:t>
      </w:r>
      <w:r>
        <w:rPr>
          <w:rFonts w:eastAsia="仿宋"/>
          <w:sz w:val="24"/>
        </w:rPr>
        <w:t>年数据不完整的状态下，吉林省的专利申请量相较于</w:t>
      </w:r>
      <w:r>
        <w:rPr>
          <w:rFonts w:eastAsia="仿宋"/>
          <w:sz w:val="24"/>
        </w:rPr>
        <w:t>2023</w:t>
      </w:r>
      <w:r>
        <w:rPr>
          <w:rFonts w:eastAsia="仿宋"/>
          <w:sz w:val="24"/>
        </w:rPr>
        <w:t>年实现了显著增长，增加了</w:t>
      </w:r>
      <w:r>
        <w:rPr>
          <w:rFonts w:eastAsia="仿宋"/>
          <w:sz w:val="24"/>
        </w:rPr>
        <w:t>9</w:t>
      </w:r>
      <w:r>
        <w:rPr>
          <w:rFonts w:eastAsia="仿宋"/>
          <w:sz w:val="24"/>
        </w:rPr>
        <w:t>件。</w:t>
      </w:r>
    </w:p>
    <w:p w:rsidR="00000000" w:rsidRDefault="00000000">
      <w:pPr>
        <w:widowControl/>
        <w:spacing w:line="440" w:lineRule="exact"/>
        <w:ind w:firstLineChars="200" w:firstLine="480"/>
        <w:jc w:val="left"/>
        <w:rPr>
          <w:rFonts w:eastAsia="仿宋"/>
          <w:sz w:val="24"/>
        </w:rPr>
      </w:pPr>
      <w:bookmarkStart w:id="498" w:name="_Toc13629"/>
      <w:bookmarkStart w:id="499" w:name="_Toc6714"/>
      <w:r>
        <w:rPr>
          <w:rFonts w:eastAsia="仿宋"/>
          <w:sz w:val="24"/>
        </w:rPr>
        <w:t>三、吉林省</w:t>
      </w:r>
      <w:r>
        <w:rPr>
          <w:rFonts w:eastAsia="仿宋"/>
          <w:sz w:val="24"/>
        </w:rPr>
        <w:t>OLED</w:t>
      </w:r>
      <w:r>
        <w:rPr>
          <w:rFonts w:eastAsia="仿宋"/>
          <w:sz w:val="24"/>
        </w:rPr>
        <w:t>发光材料产业的企业创新实力和重点人才</w:t>
      </w:r>
      <w:bookmarkEnd w:id="498"/>
      <w:bookmarkEnd w:id="499"/>
    </w:p>
    <w:p w:rsidR="00000000" w:rsidRDefault="00000000">
      <w:pPr>
        <w:widowControl/>
        <w:spacing w:line="440" w:lineRule="exact"/>
        <w:ind w:firstLineChars="200" w:firstLine="480"/>
        <w:jc w:val="left"/>
        <w:rPr>
          <w:rFonts w:eastAsia="仿宋"/>
          <w:sz w:val="24"/>
        </w:rPr>
      </w:pPr>
      <w:r>
        <w:rPr>
          <w:rFonts w:eastAsia="仿宋"/>
          <w:sz w:val="24"/>
        </w:rPr>
        <w:t>对于</w:t>
      </w:r>
      <w:r>
        <w:rPr>
          <w:rFonts w:eastAsia="仿宋"/>
          <w:sz w:val="24"/>
        </w:rPr>
        <w:t>OLED</w:t>
      </w:r>
      <w:r>
        <w:rPr>
          <w:rFonts w:eastAsia="仿宋"/>
          <w:sz w:val="24"/>
        </w:rPr>
        <w:t>发光材料领域，长春海谱润斯科技股份有限公司和吉林奥来德光电材料股份有限公司凭借其深厚的研发实力，其专利申请基本是占了全部申请量的</w:t>
      </w:r>
      <w:r>
        <w:rPr>
          <w:rFonts w:eastAsia="仿宋"/>
          <w:sz w:val="24"/>
        </w:rPr>
        <w:t>80%</w:t>
      </w:r>
      <w:r>
        <w:rPr>
          <w:rFonts w:eastAsia="仿宋"/>
          <w:sz w:val="24"/>
        </w:rPr>
        <w:t>以上。这一趋势也提醒着吉林省的企业，在</w:t>
      </w:r>
      <w:r>
        <w:rPr>
          <w:rFonts w:eastAsia="仿宋"/>
          <w:sz w:val="24"/>
        </w:rPr>
        <w:t>OLED</w:t>
      </w:r>
      <w:r>
        <w:rPr>
          <w:rFonts w:eastAsia="仿宋"/>
          <w:sz w:val="24"/>
        </w:rPr>
        <w:t>发光材料领域，除了巩固自身的技术优势外，还应积极探索新的技术分支，拓宽技术布局，以提升整个吉林省</w:t>
      </w:r>
      <w:r>
        <w:rPr>
          <w:rFonts w:eastAsia="仿宋"/>
          <w:sz w:val="24"/>
        </w:rPr>
        <w:t>OLED</w:t>
      </w:r>
      <w:r>
        <w:rPr>
          <w:rFonts w:eastAsia="仿宋"/>
          <w:sz w:val="24"/>
        </w:rPr>
        <w:t>发光材料领域的整体竞争力。</w:t>
      </w:r>
    </w:p>
    <w:p w:rsidR="00000000" w:rsidRDefault="00000000">
      <w:pPr>
        <w:widowControl/>
        <w:spacing w:line="440" w:lineRule="exact"/>
        <w:ind w:firstLineChars="200" w:firstLine="480"/>
        <w:jc w:val="left"/>
        <w:rPr>
          <w:rFonts w:eastAsia="仿宋"/>
          <w:sz w:val="24"/>
        </w:rPr>
      </w:pPr>
      <w:r>
        <w:rPr>
          <w:rFonts w:eastAsia="仿宋"/>
          <w:sz w:val="24"/>
        </w:rPr>
        <w:t>对于</w:t>
      </w:r>
      <w:r>
        <w:rPr>
          <w:rFonts w:eastAsia="仿宋"/>
          <w:sz w:val="24"/>
        </w:rPr>
        <w:t>OLED</w:t>
      </w:r>
      <w:r>
        <w:rPr>
          <w:rFonts w:eastAsia="仿宋"/>
          <w:sz w:val="24"/>
        </w:rPr>
        <w:t>发光材料领域，我们可以看到蔡辉在该领域的专利申请数量最多，共计</w:t>
      </w:r>
      <w:r>
        <w:rPr>
          <w:rFonts w:eastAsia="仿宋"/>
          <w:sz w:val="24"/>
        </w:rPr>
        <w:t>300</w:t>
      </w:r>
      <w:r>
        <w:rPr>
          <w:rFonts w:eastAsia="仿宋"/>
          <w:sz w:val="24"/>
        </w:rPr>
        <w:t>来件，显示出他在</w:t>
      </w:r>
      <w:r>
        <w:rPr>
          <w:rFonts w:eastAsia="仿宋"/>
          <w:sz w:val="24"/>
        </w:rPr>
        <w:t>OLED</w:t>
      </w:r>
      <w:r>
        <w:rPr>
          <w:rFonts w:eastAsia="仿宋"/>
          <w:sz w:val="24"/>
        </w:rPr>
        <w:t>发光材料领域的卓越贡献和深厚的研究实力。蔡辉的主要研究侧重于发光层。排名第二、第三、第四和第五的马晓宇、汪康、王辉和董秀芹均在发光层方面存在较多申请；他们的贡献和努力共同推动着吉林省</w:t>
      </w:r>
      <w:r>
        <w:rPr>
          <w:rFonts w:eastAsia="仿宋"/>
          <w:sz w:val="24"/>
        </w:rPr>
        <w:t>OLED</w:t>
      </w:r>
      <w:r>
        <w:rPr>
          <w:rFonts w:eastAsia="仿宋"/>
          <w:sz w:val="24"/>
        </w:rPr>
        <w:t>发光材料产业的快速发展和持续创新。</w:t>
      </w:r>
    </w:p>
    <w:p w:rsidR="00000000" w:rsidRDefault="00000000">
      <w:pPr>
        <w:widowControl/>
        <w:spacing w:line="440" w:lineRule="exact"/>
        <w:ind w:firstLineChars="200" w:firstLine="480"/>
        <w:jc w:val="left"/>
        <w:rPr>
          <w:rFonts w:eastAsia="仿宋"/>
          <w:sz w:val="24"/>
        </w:rPr>
        <w:sectPr w:rsidR="00000000">
          <w:pgSz w:w="11906" w:h="16838"/>
          <w:pgMar w:top="1417" w:right="1417" w:bottom="1417" w:left="1417" w:header="851" w:footer="992" w:gutter="0"/>
          <w:pgBorders>
            <w:top w:val="none" w:sz="0" w:space="1" w:color="auto"/>
            <w:left w:val="none" w:sz="0" w:space="4" w:color="auto"/>
            <w:bottom w:val="none" w:sz="0" w:space="1" w:color="auto"/>
            <w:right w:val="none" w:sz="0" w:space="4" w:color="auto"/>
          </w:pgBorders>
          <w:cols w:space="720"/>
          <w:docGrid w:type="lines" w:linePitch="312"/>
        </w:sectPr>
      </w:pPr>
    </w:p>
    <w:p w:rsidR="00000000" w:rsidRDefault="00000000">
      <w:pPr>
        <w:pStyle w:val="1"/>
        <w:spacing w:beforeLines="0" w:before="312" w:after="312"/>
        <w:rPr>
          <w:sz w:val="32"/>
          <w:szCs w:val="32"/>
        </w:rPr>
      </w:pPr>
      <w:bookmarkStart w:id="500" w:name="_Toc26676"/>
      <w:bookmarkStart w:id="501" w:name="_Toc133415950"/>
      <w:bookmarkStart w:id="502" w:name="_Toc681"/>
      <w:bookmarkStart w:id="503" w:name="_Toc29014"/>
      <w:bookmarkStart w:id="504" w:name="_Toc27326"/>
      <w:bookmarkStart w:id="505" w:name="_Toc5598"/>
      <w:bookmarkStart w:id="506" w:name="_Toc16777"/>
      <w:bookmarkStart w:id="507" w:name="_Toc10414"/>
      <w:bookmarkStart w:id="508" w:name="_Toc23688"/>
      <w:r>
        <w:rPr>
          <w:sz w:val="32"/>
          <w:szCs w:val="32"/>
        </w:rPr>
        <w:lastRenderedPageBreak/>
        <w:t>第</w:t>
      </w:r>
      <w:r>
        <w:rPr>
          <w:rFonts w:hint="eastAsia"/>
          <w:sz w:val="32"/>
          <w:szCs w:val="32"/>
        </w:rPr>
        <w:t>五</w:t>
      </w:r>
      <w:r>
        <w:rPr>
          <w:sz w:val="32"/>
          <w:szCs w:val="32"/>
        </w:rPr>
        <w:t>章</w:t>
      </w:r>
      <w:r>
        <w:rPr>
          <w:sz w:val="32"/>
          <w:szCs w:val="32"/>
        </w:rPr>
        <w:t xml:space="preserve"> </w:t>
      </w:r>
      <w:r>
        <w:rPr>
          <w:rFonts w:hint="eastAsia"/>
          <w:sz w:val="32"/>
          <w:szCs w:val="32"/>
        </w:rPr>
        <w:t>吉林省</w:t>
      </w:r>
      <w:r>
        <w:rPr>
          <w:sz w:val="32"/>
          <w:szCs w:val="32"/>
        </w:rPr>
        <w:t>OLED</w:t>
      </w:r>
      <w:r>
        <w:rPr>
          <w:sz w:val="32"/>
          <w:szCs w:val="32"/>
        </w:rPr>
        <w:t>发光材料产业路径导航分析</w:t>
      </w:r>
      <w:bookmarkEnd w:id="500"/>
      <w:bookmarkEnd w:id="501"/>
      <w:bookmarkEnd w:id="502"/>
      <w:bookmarkEnd w:id="503"/>
      <w:bookmarkEnd w:id="504"/>
      <w:bookmarkEnd w:id="505"/>
      <w:bookmarkEnd w:id="506"/>
      <w:bookmarkEnd w:id="507"/>
      <w:bookmarkEnd w:id="508"/>
    </w:p>
    <w:p w:rsidR="00000000" w:rsidRDefault="00000000">
      <w:pPr>
        <w:pStyle w:val="2"/>
        <w:spacing w:before="156" w:after="156"/>
        <w:jc w:val="both"/>
        <w:rPr>
          <w:rFonts w:eastAsia="宋体"/>
          <w:szCs w:val="28"/>
        </w:rPr>
      </w:pPr>
      <w:bookmarkStart w:id="509" w:name="_Toc11898"/>
      <w:bookmarkStart w:id="510" w:name="_Toc11660"/>
      <w:bookmarkStart w:id="511" w:name="_Toc30508"/>
      <w:bookmarkStart w:id="512" w:name="_Toc31641"/>
      <w:bookmarkStart w:id="513" w:name="_Toc133415951"/>
      <w:bookmarkStart w:id="514" w:name="_Toc26702"/>
      <w:bookmarkStart w:id="515" w:name="_Toc30325"/>
      <w:bookmarkStart w:id="516" w:name="_Toc16859"/>
      <w:r>
        <w:rPr>
          <w:rFonts w:eastAsia="宋体"/>
          <w:szCs w:val="28"/>
        </w:rPr>
        <w:t xml:space="preserve">5.1 </w:t>
      </w:r>
      <w:r>
        <w:rPr>
          <w:rFonts w:eastAsia="宋体"/>
          <w:szCs w:val="28"/>
        </w:rPr>
        <w:t>产业布局优化路径</w:t>
      </w:r>
      <w:bookmarkEnd w:id="509"/>
      <w:bookmarkEnd w:id="510"/>
      <w:bookmarkEnd w:id="511"/>
      <w:bookmarkEnd w:id="512"/>
      <w:bookmarkEnd w:id="513"/>
      <w:bookmarkEnd w:id="514"/>
      <w:bookmarkEnd w:id="515"/>
      <w:bookmarkEnd w:id="516"/>
    </w:p>
    <w:p w:rsidR="00000000" w:rsidRDefault="00000000">
      <w:pPr>
        <w:widowControl/>
        <w:spacing w:line="440" w:lineRule="exact"/>
        <w:ind w:firstLineChars="200" w:firstLine="480"/>
        <w:jc w:val="left"/>
        <w:rPr>
          <w:rFonts w:eastAsia="仿宋"/>
          <w:sz w:val="24"/>
        </w:rPr>
      </w:pPr>
      <w:bookmarkStart w:id="517" w:name="_Toc133415952"/>
      <w:bookmarkStart w:id="518" w:name="_Toc26340"/>
      <w:r>
        <w:rPr>
          <w:rFonts w:eastAsia="仿宋"/>
          <w:sz w:val="24"/>
        </w:rPr>
        <w:t>吉林省拥有一批高水平的创新主体，如吉林大学、长春理工大学、中国科学院长春光学精密机械与物理研究所等，这些申请主体为吉林省提供了强大的创新支持。同时，吉林省还积极引进和培育创新型企业和人才，推动产学研深度融合，不断提升产业创新能力。</w:t>
      </w:r>
    </w:p>
    <w:p w:rsidR="00000000" w:rsidRDefault="00000000">
      <w:pPr>
        <w:widowControl/>
        <w:spacing w:line="440" w:lineRule="exact"/>
        <w:ind w:firstLineChars="200" w:firstLine="480"/>
        <w:jc w:val="left"/>
        <w:rPr>
          <w:rFonts w:eastAsia="仿宋"/>
          <w:sz w:val="24"/>
        </w:rPr>
      </w:pPr>
      <w:r>
        <w:rPr>
          <w:rFonts w:eastAsia="仿宋"/>
          <w:sz w:val="24"/>
        </w:rPr>
        <w:t>本项目前文章节对</w:t>
      </w:r>
      <w:r>
        <w:rPr>
          <w:rFonts w:eastAsia="仿宋"/>
          <w:sz w:val="24"/>
        </w:rPr>
        <w:t>OLED</w:t>
      </w:r>
      <w:r>
        <w:rPr>
          <w:rFonts w:eastAsia="仿宋"/>
          <w:sz w:val="24"/>
        </w:rPr>
        <w:t>发光材料领域的发展方向以及吉林省</w:t>
      </w:r>
      <w:r>
        <w:rPr>
          <w:rFonts w:eastAsia="仿宋"/>
          <w:sz w:val="24"/>
        </w:rPr>
        <w:t>OLED</w:t>
      </w:r>
      <w:r>
        <w:rPr>
          <w:rFonts w:eastAsia="仿宋"/>
          <w:sz w:val="24"/>
        </w:rPr>
        <w:t>发光材料领域的现状进行了分析，整体而言，</w:t>
      </w:r>
      <w:r>
        <w:rPr>
          <w:rFonts w:eastAsia="仿宋"/>
          <w:sz w:val="24"/>
        </w:rPr>
        <w:t>OLED</w:t>
      </w:r>
      <w:r>
        <w:rPr>
          <w:rFonts w:eastAsia="仿宋"/>
          <w:sz w:val="24"/>
        </w:rPr>
        <w:t>发光材料领域中每个链条阶段以及每个技术分支均有各自的特点。因此，研究其产业特点，从技术的研发研发、设计、制造和服务入手，进行战略聚焦和深耕细作，巩固已有优势，寻找新的突破机会对于政策引导和企业研发而言显得尤为重要。</w:t>
      </w:r>
    </w:p>
    <w:p w:rsidR="00000000" w:rsidRDefault="00000000">
      <w:pPr>
        <w:widowControl/>
        <w:spacing w:line="440" w:lineRule="exact"/>
        <w:ind w:firstLineChars="200" w:firstLine="480"/>
        <w:jc w:val="left"/>
        <w:rPr>
          <w:rFonts w:eastAsia="仿宋"/>
          <w:sz w:val="24"/>
        </w:rPr>
      </w:pPr>
      <w:r>
        <w:rPr>
          <w:rFonts w:eastAsia="仿宋"/>
          <w:sz w:val="24"/>
        </w:rPr>
        <w:t>结合各领域的生命周期分析，</w:t>
      </w:r>
      <w:r>
        <w:rPr>
          <w:rFonts w:eastAsia="仿宋"/>
          <w:sz w:val="24"/>
        </w:rPr>
        <w:t>OLED</w:t>
      </w:r>
      <w:r>
        <w:rPr>
          <w:rFonts w:eastAsia="仿宋"/>
          <w:sz w:val="24"/>
        </w:rPr>
        <w:t>发光材料领域受到越来越多创新主体的关注，因此从产业角度来看，可作为吉林省结构布局优化的重点方向。一级分支的整体分析及发展态势分析是在较为宏观的角度进行方向性的分析，并不能全面阐述产业结构优化的路径，因此，还需对全球各地区的产业结构情况以及吉林省本身的产业结构进行对比分析。结合前文分析结果及数据，绘制产业结构布局情况如下表示。</w:t>
      </w:r>
    </w:p>
    <w:p w:rsidR="00000000" w:rsidRDefault="00000000">
      <w:pPr>
        <w:widowControl/>
        <w:spacing w:line="440" w:lineRule="exact"/>
        <w:ind w:firstLineChars="200" w:firstLine="480"/>
        <w:jc w:val="left"/>
        <w:rPr>
          <w:rFonts w:eastAsia="仿宋"/>
          <w:sz w:val="24"/>
        </w:rPr>
      </w:pPr>
      <w:r>
        <w:rPr>
          <w:rFonts w:eastAsia="仿宋"/>
          <w:sz w:val="24"/>
        </w:rPr>
        <w:t>结合技术分支比例，指出吉林省产业结构布局优化路径如下：</w:t>
      </w:r>
    </w:p>
    <w:p w:rsidR="00000000" w:rsidRDefault="00000000">
      <w:pPr>
        <w:pStyle w:val="zy"/>
        <w:spacing w:beforeLines="0" w:before="0" w:afterLines="0" w:after="0"/>
        <w:rPr>
          <w:rFonts w:eastAsia="仿宋"/>
          <w:b w:val="0"/>
          <w:color w:val="auto"/>
        </w:rPr>
      </w:pPr>
      <w:r>
        <w:rPr>
          <w:rFonts w:eastAsia="仿宋"/>
          <w:b w:val="0"/>
          <w:color w:val="auto"/>
        </w:rPr>
        <w:t>表</w:t>
      </w:r>
      <w:r>
        <w:rPr>
          <w:rFonts w:eastAsia="仿宋" w:hint="eastAsia"/>
          <w:b w:val="0"/>
          <w:color w:val="auto"/>
        </w:rPr>
        <w:t>5</w:t>
      </w:r>
      <w:r>
        <w:rPr>
          <w:rFonts w:eastAsia="仿宋"/>
          <w:b w:val="0"/>
          <w:color w:val="auto"/>
        </w:rPr>
        <w:t>-1-1</w:t>
      </w:r>
      <w:r>
        <w:rPr>
          <w:rFonts w:eastAsia="仿宋"/>
          <w:b w:val="0"/>
          <w:color w:val="auto"/>
        </w:rPr>
        <w:t>全球、全国和</w:t>
      </w:r>
      <w:r>
        <w:rPr>
          <w:rFonts w:eastAsia="仿宋" w:hint="eastAsia"/>
          <w:b w:val="0"/>
          <w:color w:val="auto"/>
        </w:rPr>
        <w:t>吉林省</w:t>
      </w:r>
      <w:r>
        <w:rPr>
          <w:rFonts w:eastAsia="仿宋" w:hint="eastAsia"/>
          <w:b w:val="0"/>
          <w:color w:val="auto"/>
        </w:rPr>
        <w:t>OLED</w:t>
      </w:r>
      <w:r>
        <w:rPr>
          <w:rFonts w:eastAsia="仿宋" w:hint="eastAsia"/>
          <w:b w:val="0"/>
          <w:color w:val="auto"/>
        </w:rPr>
        <w:t>发光材料领域</w:t>
      </w:r>
      <w:r>
        <w:rPr>
          <w:rFonts w:eastAsia="仿宋"/>
          <w:b w:val="0"/>
          <w:color w:val="auto"/>
        </w:rPr>
        <w:t>细分技术分支布局对比</w:t>
      </w:r>
    </w:p>
    <w:tbl>
      <w:tblPr>
        <w:tblW w:w="4492" w:type="pct"/>
        <w:jc w:val="center"/>
        <w:tblInd w:w="0" w:type="dxa"/>
        <w:tblBorders>
          <w:top w:val="single" w:sz="8" w:space="0" w:color="80A856"/>
          <w:left w:val="single" w:sz="8" w:space="0" w:color="80A856"/>
          <w:bottom w:val="single" w:sz="8" w:space="0" w:color="80A856"/>
          <w:right w:val="single" w:sz="8" w:space="0" w:color="80A856"/>
        </w:tblBorders>
        <w:tblLayout w:type="fixed"/>
        <w:tblLook w:val="0000" w:firstRow="0" w:lastRow="0" w:firstColumn="0" w:lastColumn="0" w:noHBand="0" w:noVBand="0"/>
      </w:tblPr>
      <w:tblGrid>
        <w:gridCol w:w="702"/>
        <w:gridCol w:w="693"/>
        <w:gridCol w:w="842"/>
        <w:gridCol w:w="842"/>
        <w:gridCol w:w="842"/>
        <w:gridCol w:w="842"/>
        <w:gridCol w:w="842"/>
        <w:gridCol w:w="842"/>
        <w:gridCol w:w="842"/>
        <w:gridCol w:w="843"/>
      </w:tblGrid>
      <w:tr w:rsidR="00000000">
        <w:trPr>
          <w:trHeight w:val="1169"/>
          <w:jc w:val="center"/>
        </w:trPr>
        <w:tc>
          <w:tcPr>
            <w:tcW w:w="702" w:type="dxa"/>
            <w:tcBorders>
              <w:tl2br w:val="nil"/>
              <w:tr2bl w:val="nil"/>
            </w:tcBorders>
            <w:shd w:val="clear" w:color="auto" w:fill="80A856"/>
            <w:vAlign w:val="center"/>
          </w:tcPr>
          <w:p w:rsidR="00000000" w:rsidRDefault="00000000">
            <w:pPr>
              <w:pStyle w:val="sy"/>
              <w:jc w:val="center"/>
              <w:rPr>
                <w:rFonts w:ascii="Times New Roman" w:hAnsi="Times New Roman"/>
              </w:rPr>
            </w:pPr>
            <w:r>
              <w:rPr>
                <w:rFonts w:ascii="Times New Roman" w:hAnsi="Times New Roman"/>
              </w:rPr>
              <w:t>一级分支</w:t>
            </w:r>
          </w:p>
        </w:tc>
        <w:tc>
          <w:tcPr>
            <w:tcW w:w="694"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二级分支</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全球专利数量</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占比</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全国专利数量</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占比</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吉林省专利数量</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占比</w:t>
            </w:r>
          </w:p>
        </w:tc>
        <w:tc>
          <w:tcPr>
            <w:tcW w:w="843"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吉林省</w:t>
            </w:r>
            <w:r>
              <w:rPr>
                <w:rFonts w:ascii="Times New Roman" w:hAnsi="Times New Roman"/>
              </w:rPr>
              <w:t>-</w:t>
            </w:r>
            <w:r>
              <w:rPr>
                <w:rFonts w:ascii="Times New Roman" w:hAnsi="Times New Roman"/>
              </w:rPr>
              <w:t>全球</w:t>
            </w:r>
          </w:p>
        </w:tc>
        <w:tc>
          <w:tcPr>
            <w:tcW w:w="844" w:type="dxa"/>
            <w:tcBorders>
              <w:tl2br w:val="nil"/>
              <w:tr2bl w:val="nil"/>
            </w:tcBorders>
            <w:shd w:val="clear" w:color="auto" w:fill="E6F4DD"/>
            <w:vAlign w:val="center"/>
          </w:tcPr>
          <w:p w:rsidR="00000000" w:rsidRDefault="00000000">
            <w:pPr>
              <w:pStyle w:val="sy"/>
              <w:jc w:val="center"/>
              <w:rPr>
                <w:rFonts w:ascii="Times New Roman" w:hAnsi="Times New Roman"/>
              </w:rPr>
            </w:pPr>
            <w:r>
              <w:rPr>
                <w:rFonts w:ascii="Times New Roman" w:hAnsi="Times New Roman"/>
              </w:rPr>
              <w:t>吉林省</w:t>
            </w:r>
            <w:r>
              <w:rPr>
                <w:rFonts w:ascii="Times New Roman" w:hAnsi="Times New Roman"/>
              </w:rPr>
              <w:t>-</w:t>
            </w:r>
            <w:r>
              <w:rPr>
                <w:rFonts w:ascii="Times New Roman" w:hAnsi="Times New Roman"/>
              </w:rPr>
              <w:t>全国</w:t>
            </w:r>
          </w:p>
        </w:tc>
      </w:tr>
      <w:tr w:rsidR="00000000">
        <w:trPr>
          <w:trHeight w:val="692"/>
          <w:jc w:val="center"/>
        </w:trPr>
        <w:tc>
          <w:tcPr>
            <w:tcW w:w="702" w:type="dxa"/>
            <w:vMerge w:val="restart"/>
            <w:tcBorders>
              <w:tl2br w:val="nil"/>
              <w:tr2bl w:val="nil"/>
            </w:tcBorders>
            <w:shd w:val="clear" w:color="auto" w:fill="FFFFFF"/>
            <w:vAlign w:val="center"/>
          </w:tcPr>
          <w:p w:rsidR="00000000" w:rsidRDefault="00000000">
            <w:pPr>
              <w:pStyle w:val="sy"/>
              <w:jc w:val="center"/>
              <w:rPr>
                <w:rFonts w:ascii="Times New Roman" w:hAnsi="Times New Roman"/>
              </w:rPr>
            </w:pPr>
            <w:r>
              <w:rPr>
                <w:rFonts w:ascii="Times New Roman" w:hAnsi="Times New Roman"/>
              </w:rPr>
              <w:t>OLED</w:t>
            </w:r>
            <w:r>
              <w:rPr>
                <w:rFonts w:ascii="Times New Roman" w:hAnsi="Times New Roman"/>
              </w:rPr>
              <w:t>发光材料</w:t>
            </w:r>
          </w:p>
        </w:tc>
        <w:tc>
          <w:tcPr>
            <w:tcW w:w="694" w:type="dxa"/>
            <w:tcBorders>
              <w:tl2br w:val="nil"/>
              <w:tr2bl w:val="nil"/>
            </w:tcBorders>
            <w:shd w:val="clear" w:color="auto" w:fill="FFFFFF"/>
            <w:vAlign w:val="center"/>
          </w:tcPr>
          <w:p w:rsidR="00000000" w:rsidRDefault="00000000">
            <w:pPr>
              <w:pStyle w:val="sy"/>
              <w:jc w:val="center"/>
              <w:rPr>
                <w:rFonts w:ascii="Times New Roman" w:hAnsi="Times New Roman"/>
              </w:rPr>
            </w:pPr>
            <w:r>
              <w:rPr>
                <w:rFonts w:ascii="Times New Roman" w:hAnsi="Times New Roman"/>
              </w:rPr>
              <w:t>发光层</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34771</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59.2%</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11245</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59.5%</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556</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56.6%</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-2.6%</w:t>
            </w:r>
          </w:p>
        </w:tc>
        <w:tc>
          <w:tcPr>
            <w:tcW w:w="844"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-2.9%</w:t>
            </w:r>
          </w:p>
        </w:tc>
      </w:tr>
      <w:tr w:rsidR="00000000">
        <w:trPr>
          <w:trHeight w:val="370"/>
          <w:jc w:val="center"/>
        </w:trPr>
        <w:tc>
          <w:tcPr>
            <w:tcW w:w="702" w:type="dxa"/>
            <w:vMerge/>
            <w:tcBorders>
              <w:tl2br w:val="nil"/>
              <w:tr2bl w:val="nil"/>
            </w:tcBorders>
            <w:vAlign w:val="center"/>
          </w:tcPr>
          <w:p w:rsidR="00000000" w:rsidRDefault="00000000">
            <w:pPr>
              <w:widowControl/>
              <w:spacing w:line="240" w:lineRule="auto"/>
              <w:jc w:val="center"/>
              <w:rPr>
                <w:rFonts w:eastAsia="仿宋"/>
                <w:szCs w:val="21"/>
              </w:rPr>
            </w:pPr>
          </w:p>
        </w:tc>
        <w:tc>
          <w:tcPr>
            <w:tcW w:w="694" w:type="dxa"/>
            <w:tcBorders>
              <w:tl2br w:val="nil"/>
              <w:tr2bl w:val="nil"/>
            </w:tcBorders>
            <w:shd w:val="clear" w:color="auto" w:fill="FFFFFF"/>
            <w:vAlign w:val="center"/>
          </w:tcPr>
          <w:p w:rsidR="00000000" w:rsidRDefault="00000000">
            <w:pPr>
              <w:pStyle w:val="sy"/>
              <w:jc w:val="center"/>
              <w:rPr>
                <w:rFonts w:ascii="Times New Roman" w:hAnsi="Times New Roman"/>
              </w:rPr>
            </w:pPr>
            <w:r>
              <w:rPr>
                <w:rFonts w:ascii="Times New Roman" w:hAnsi="Times New Roman"/>
              </w:rPr>
              <w:t>空穴功能层</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7352</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39.0%</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2977</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15.8%</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209</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21.3%</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-17.7%</w:t>
            </w:r>
          </w:p>
        </w:tc>
        <w:tc>
          <w:tcPr>
            <w:tcW w:w="844"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5.5%</w:t>
            </w:r>
          </w:p>
        </w:tc>
      </w:tr>
      <w:tr w:rsidR="00000000">
        <w:trPr>
          <w:trHeight w:val="370"/>
          <w:jc w:val="center"/>
        </w:trPr>
        <w:tc>
          <w:tcPr>
            <w:tcW w:w="702" w:type="dxa"/>
            <w:vMerge/>
            <w:tcBorders>
              <w:tl2br w:val="nil"/>
              <w:tr2bl w:val="nil"/>
            </w:tcBorders>
            <w:vAlign w:val="center"/>
          </w:tcPr>
          <w:p w:rsidR="00000000" w:rsidRDefault="00000000">
            <w:pPr>
              <w:widowControl/>
              <w:spacing w:line="240" w:lineRule="auto"/>
              <w:jc w:val="center"/>
              <w:rPr>
                <w:rFonts w:eastAsia="仿宋"/>
                <w:szCs w:val="21"/>
              </w:rPr>
            </w:pPr>
          </w:p>
        </w:tc>
        <w:tc>
          <w:tcPr>
            <w:tcW w:w="694" w:type="dxa"/>
            <w:tcBorders>
              <w:tl2br w:val="nil"/>
              <w:tr2bl w:val="nil"/>
            </w:tcBorders>
            <w:shd w:val="clear" w:color="auto" w:fill="FFFFFF"/>
            <w:vAlign w:val="center"/>
          </w:tcPr>
          <w:p w:rsidR="00000000" w:rsidRDefault="00000000">
            <w:pPr>
              <w:pStyle w:val="sy"/>
              <w:jc w:val="center"/>
              <w:rPr>
                <w:rFonts w:ascii="Times New Roman" w:hAnsi="Times New Roman"/>
              </w:rPr>
            </w:pPr>
            <w:r>
              <w:rPr>
                <w:rFonts w:ascii="Times New Roman" w:hAnsi="Times New Roman"/>
              </w:rPr>
              <w:t>电子传输层</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7082</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37.5%</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2875</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15.2%</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185</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18.8%</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-18.7%</w:t>
            </w:r>
          </w:p>
        </w:tc>
        <w:tc>
          <w:tcPr>
            <w:tcW w:w="844"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3.6%</w:t>
            </w:r>
          </w:p>
        </w:tc>
      </w:tr>
      <w:tr w:rsidR="00000000">
        <w:trPr>
          <w:trHeight w:val="370"/>
          <w:jc w:val="center"/>
        </w:trPr>
        <w:tc>
          <w:tcPr>
            <w:tcW w:w="702" w:type="dxa"/>
            <w:vMerge/>
            <w:tcBorders>
              <w:tl2br w:val="nil"/>
              <w:tr2bl w:val="nil"/>
            </w:tcBorders>
            <w:vAlign w:val="center"/>
          </w:tcPr>
          <w:p w:rsidR="00000000" w:rsidRDefault="00000000">
            <w:pPr>
              <w:widowControl/>
              <w:spacing w:line="240" w:lineRule="auto"/>
              <w:jc w:val="center"/>
              <w:rPr>
                <w:rFonts w:eastAsia="仿宋"/>
                <w:szCs w:val="21"/>
              </w:rPr>
            </w:pPr>
          </w:p>
        </w:tc>
        <w:tc>
          <w:tcPr>
            <w:tcW w:w="694" w:type="dxa"/>
            <w:tcBorders>
              <w:tl2br w:val="nil"/>
              <w:tr2bl w:val="nil"/>
            </w:tcBorders>
            <w:shd w:val="clear" w:color="auto" w:fill="FFFFFF"/>
            <w:vAlign w:val="center"/>
          </w:tcPr>
          <w:p w:rsidR="00000000" w:rsidRDefault="00000000">
            <w:pPr>
              <w:pStyle w:val="sy"/>
              <w:jc w:val="center"/>
              <w:rPr>
                <w:rFonts w:ascii="Times New Roman" w:hAnsi="Times New Roman"/>
              </w:rPr>
            </w:pPr>
            <w:r>
              <w:rPr>
                <w:rFonts w:ascii="Times New Roman" w:hAnsi="Times New Roman"/>
              </w:rPr>
              <w:t>界面修饰层</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1854</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9.8%</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860</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4.6%</w:t>
            </w:r>
          </w:p>
        </w:tc>
        <w:tc>
          <w:tcPr>
            <w:tcW w:w="843" w:type="dxa"/>
            <w:tcBorders>
              <w:tl2br w:val="nil"/>
              <w:tr2bl w:val="nil"/>
            </w:tcBorders>
            <w:shd w:val="clear" w:color="auto" w:fill="EEECE1"/>
            <w:vAlign w:val="center"/>
          </w:tcPr>
          <w:p w:rsidR="00000000" w:rsidRDefault="00000000">
            <w:pPr>
              <w:widowControl/>
              <w:jc w:val="center"/>
              <w:textAlignment w:val="center"/>
              <w:rPr>
                <w:rFonts w:eastAsia="仿宋"/>
                <w:szCs w:val="21"/>
              </w:rPr>
            </w:pPr>
            <w:r>
              <w:rPr>
                <w:rFonts w:eastAsia="仿宋"/>
                <w:kern w:val="0"/>
                <w:szCs w:val="21"/>
                <w:lang w:bidi="ar"/>
              </w:rPr>
              <w:t>79</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8.1%</w:t>
            </w:r>
          </w:p>
        </w:tc>
        <w:tc>
          <w:tcPr>
            <w:tcW w:w="843"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-1.7%</w:t>
            </w:r>
          </w:p>
        </w:tc>
        <w:tc>
          <w:tcPr>
            <w:tcW w:w="844" w:type="dxa"/>
            <w:tcBorders>
              <w:tl2br w:val="nil"/>
              <w:tr2bl w:val="nil"/>
            </w:tcBorders>
            <w:shd w:val="clear" w:color="auto" w:fill="EEECE1"/>
            <w:vAlign w:val="center"/>
          </w:tcPr>
          <w:p w:rsidR="00000000" w:rsidRDefault="00000000">
            <w:pPr>
              <w:pStyle w:val="sy"/>
              <w:jc w:val="center"/>
              <w:rPr>
                <w:rFonts w:ascii="Times New Roman" w:hAnsi="Times New Roman"/>
              </w:rPr>
            </w:pPr>
            <w:r>
              <w:rPr>
                <w:rFonts w:ascii="Times New Roman" w:hAnsi="Times New Roman"/>
              </w:rPr>
              <w:t>3.5%</w:t>
            </w:r>
          </w:p>
        </w:tc>
      </w:tr>
    </w:tbl>
    <w:p w:rsidR="00000000" w:rsidRDefault="00000000">
      <w:pPr>
        <w:widowControl/>
        <w:spacing w:line="440" w:lineRule="exact"/>
        <w:ind w:firstLineChars="200" w:firstLine="480"/>
        <w:jc w:val="left"/>
        <w:rPr>
          <w:rFonts w:eastAsia="仿宋"/>
          <w:sz w:val="24"/>
        </w:rPr>
      </w:pPr>
      <w:r>
        <w:rPr>
          <w:rFonts w:eastAsia="仿宋"/>
          <w:sz w:val="24"/>
        </w:rPr>
        <w:t>从</w:t>
      </w:r>
      <w:r>
        <w:rPr>
          <w:rFonts w:eastAsia="仿宋"/>
          <w:sz w:val="24"/>
        </w:rPr>
        <w:t>OLED</w:t>
      </w:r>
      <w:r>
        <w:rPr>
          <w:rFonts w:eastAsia="仿宋"/>
          <w:sz w:val="24"/>
        </w:rPr>
        <w:t>发光材料领域来看，吉林省在</w:t>
      </w:r>
      <w:r>
        <w:rPr>
          <w:rFonts w:eastAsia="仿宋"/>
          <w:sz w:val="24"/>
        </w:rPr>
        <w:t>OLED</w:t>
      </w:r>
      <w:r>
        <w:rPr>
          <w:rFonts w:eastAsia="仿宋"/>
          <w:sz w:val="24"/>
        </w:rPr>
        <w:t>发光材料领域中，发光层领域的专利数量最多，其次为空穴功能层和电子传输层，而关于界面修饰层的专利申请较少，从二级技术分支申请量在一级技术分支申请量的占比的差额来看，吉林省在发光层领域较全国的产业结构布局和全球还有一定的差距，但是差额相对较少，吉林省应巩固和进一步发挥上述领域的产业结构优势。</w:t>
      </w:r>
    </w:p>
    <w:p w:rsidR="00000000" w:rsidRDefault="00000000">
      <w:pPr>
        <w:widowControl/>
        <w:spacing w:line="440" w:lineRule="exact"/>
        <w:ind w:firstLineChars="200" w:firstLine="480"/>
        <w:jc w:val="left"/>
        <w:rPr>
          <w:rFonts w:eastAsia="仿宋"/>
          <w:sz w:val="24"/>
        </w:rPr>
      </w:pPr>
      <w:r>
        <w:rPr>
          <w:rFonts w:eastAsia="仿宋"/>
          <w:sz w:val="24"/>
        </w:rPr>
        <w:t>结合吉林省在</w:t>
      </w:r>
      <w:r>
        <w:rPr>
          <w:rFonts w:eastAsia="仿宋"/>
          <w:sz w:val="24"/>
        </w:rPr>
        <w:t>OLED</w:t>
      </w:r>
      <w:r>
        <w:rPr>
          <w:rFonts w:eastAsia="仿宋"/>
          <w:sz w:val="24"/>
        </w:rPr>
        <w:t>发光材料领域在产业布局热点、行业龙头研发热点、核心专利技术分布和专利运用热点的几个维度，从上述几个指标入手提高吉林省在</w:t>
      </w:r>
      <w:r>
        <w:rPr>
          <w:rFonts w:eastAsia="仿宋"/>
          <w:sz w:val="24"/>
        </w:rPr>
        <w:t>OLED</w:t>
      </w:r>
      <w:r>
        <w:rPr>
          <w:rFonts w:eastAsia="仿宋"/>
          <w:sz w:val="24"/>
        </w:rPr>
        <w:t>发光材料领域的产业结构调整，具体的，可加强本地企业的培育，促进其在相关领域的研究深度，从而提高该领域的平均专利申请量指标；同时，还可以学习借鉴龙头企业在该领域的专利布局，积极寻求合作；最后，还可以加基础专利、核心专利的研发投入，并积极采取专利转让、许可等专利运用手段。</w:t>
      </w:r>
    </w:p>
    <w:p w:rsidR="00000000" w:rsidRDefault="00000000">
      <w:pPr>
        <w:pStyle w:val="2"/>
        <w:spacing w:before="156" w:after="156"/>
        <w:jc w:val="both"/>
        <w:rPr>
          <w:rFonts w:eastAsia="宋体"/>
          <w:szCs w:val="28"/>
        </w:rPr>
      </w:pPr>
      <w:bookmarkStart w:id="519" w:name="_Toc25101"/>
      <w:bookmarkStart w:id="520" w:name="_Toc800"/>
      <w:bookmarkStart w:id="521" w:name="_Toc22609"/>
      <w:bookmarkStart w:id="522" w:name="_Toc22622"/>
      <w:bookmarkStart w:id="523" w:name="_Toc27137"/>
      <w:bookmarkStart w:id="524" w:name="_Toc25518"/>
      <w:bookmarkStart w:id="525" w:name="_Toc14012"/>
      <w:bookmarkStart w:id="526" w:name="_Toc133415954"/>
      <w:bookmarkEnd w:id="517"/>
      <w:bookmarkEnd w:id="518"/>
      <w:r>
        <w:rPr>
          <w:rFonts w:eastAsia="宋体"/>
          <w:szCs w:val="28"/>
        </w:rPr>
        <w:t xml:space="preserve">5.2 </w:t>
      </w:r>
      <w:r>
        <w:rPr>
          <w:rFonts w:eastAsia="宋体"/>
          <w:szCs w:val="28"/>
        </w:rPr>
        <w:t>企业培育及引进路径</w:t>
      </w:r>
      <w:bookmarkEnd w:id="519"/>
      <w:bookmarkEnd w:id="520"/>
      <w:bookmarkEnd w:id="521"/>
      <w:bookmarkEnd w:id="522"/>
      <w:bookmarkEnd w:id="523"/>
      <w:bookmarkEnd w:id="524"/>
      <w:bookmarkEnd w:id="525"/>
      <w:bookmarkEnd w:id="526"/>
    </w:p>
    <w:p w:rsidR="00000000" w:rsidRDefault="00000000">
      <w:pPr>
        <w:pStyle w:val="3"/>
        <w:spacing w:beforeLines="50" w:before="156" w:afterLines="50" w:after="156" w:line="440" w:lineRule="exact"/>
        <w:rPr>
          <w:rFonts w:eastAsia="楷体"/>
          <w:sz w:val="28"/>
        </w:rPr>
      </w:pPr>
      <w:bookmarkStart w:id="527" w:name="_Toc20369"/>
      <w:bookmarkStart w:id="528" w:name="_Toc12619"/>
      <w:bookmarkStart w:id="529" w:name="_Toc133415955"/>
      <w:bookmarkStart w:id="530" w:name="_Toc8725"/>
      <w:bookmarkStart w:id="531" w:name="_Toc29703"/>
      <w:bookmarkStart w:id="532" w:name="_Toc30705"/>
      <w:bookmarkStart w:id="533" w:name="_Toc9899"/>
      <w:bookmarkStart w:id="534" w:name="_Toc6805"/>
      <w:r>
        <w:rPr>
          <w:rFonts w:eastAsia="楷体"/>
          <w:sz w:val="28"/>
        </w:rPr>
        <w:t xml:space="preserve">5.2.1 </w:t>
      </w:r>
      <w:r>
        <w:rPr>
          <w:rFonts w:eastAsia="楷体"/>
          <w:sz w:val="28"/>
        </w:rPr>
        <w:t>吉林省企业培育引进路径</w:t>
      </w:r>
      <w:bookmarkEnd w:id="527"/>
      <w:bookmarkEnd w:id="528"/>
      <w:bookmarkEnd w:id="529"/>
      <w:bookmarkEnd w:id="530"/>
      <w:bookmarkEnd w:id="531"/>
      <w:bookmarkEnd w:id="532"/>
      <w:bookmarkEnd w:id="533"/>
      <w:bookmarkEnd w:id="534"/>
    </w:p>
    <w:p w:rsidR="00000000" w:rsidRDefault="00000000">
      <w:pPr>
        <w:widowControl/>
        <w:spacing w:line="440" w:lineRule="exact"/>
        <w:ind w:firstLineChars="200" w:firstLine="480"/>
        <w:jc w:val="left"/>
        <w:rPr>
          <w:rFonts w:eastAsia="仿宋"/>
          <w:sz w:val="24"/>
        </w:rPr>
      </w:pPr>
      <w:r>
        <w:rPr>
          <w:rFonts w:eastAsia="仿宋"/>
          <w:sz w:val="24"/>
        </w:rPr>
        <w:t>吉林省企业培育引进步骤，围绕产业结构优化升级的总体布局，吉林省企业的培育和引进可以遵循以下步骤</w:t>
      </w:r>
      <w:r>
        <w:rPr>
          <w:rFonts w:eastAsia="仿宋"/>
          <w:sz w:val="24"/>
        </w:rPr>
        <w:t>:</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1</w:t>
      </w:r>
      <w:r>
        <w:rPr>
          <w:rFonts w:eastAsia="仿宋"/>
          <w:sz w:val="24"/>
        </w:rPr>
        <w:t>）整合形成一批具有较长产品链的重点企业，培育其成长为全产品链型龙头企业。吉林省重点支持和培育其在发光层、空穴功能层和电子传输层等方面的技术研发和产品开发，并鼓励和引导其在上述几个领域尽快开展技术研发和专利布局。</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2</w:t>
      </w:r>
      <w:r>
        <w:rPr>
          <w:rFonts w:eastAsia="仿宋"/>
          <w:sz w:val="24"/>
        </w:rPr>
        <w:t>）引导和鼓励特定环节较强的企业强强联合，培育特定环节的骨干企业。</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3</w:t>
      </w:r>
      <w:r>
        <w:rPr>
          <w:rFonts w:eastAsia="仿宋"/>
          <w:sz w:val="24"/>
        </w:rPr>
        <w:t>）培育或引进在不同环节具有较好成长潜力的企业。形成以市场应用为需求导向，各分支品类化、专用化改进的技术发展模式，开发高端制品和应用技术及产品，提升高端制品的研发和制造水平，培育打造具有较强产业带动作用的成长型企业。</w:t>
      </w:r>
    </w:p>
    <w:p w:rsidR="00000000" w:rsidRDefault="00000000">
      <w:pPr>
        <w:widowControl/>
        <w:spacing w:line="440" w:lineRule="exact"/>
        <w:ind w:firstLineChars="200" w:firstLine="480"/>
        <w:jc w:val="left"/>
        <w:rPr>
          <w:rFonts w:eastAsia="仿宋"/>
          <w:sz w:val="24"/>
        </w:rPr>
      </w:pPr>
      <w:r>
        <w:rPr>
          <w:rFonts w:eastAsia="仿宋"/>
          <w:sz w:val="24"/>
        </w:rPr>
        <w:t>（</w:t>
      </w:r>
      <w:r>
        <w:rPr>
          <w:rFonts w:eastAsia="仿宋"/>
          <w:sz w:val="24"/>
        </w:rPr>
        <w:t>4</w:t>
      </w:r>
      <w:r>
        <w:rPr>
          <w:rFonts w:eastAsia="仿宋"/>
          <w:sz w:val="24"/>
        </w:rPr>
        <w:t>）鼓励企业通过产业或技术并购扩大规模，优化资源配置，发挥规模效益。同质化企业采取横向并购，处于竞争优势地位的企业采取纵向并购鼓励本地企业横向或纵向合作，在凸显规模效益的同时做强具体产业链环节</w:t>
      </w:r>
      <w:r>
        <w:rPr>
          <w:rFonts w:eastAsia="仿宋"/>
          <w:sz w:val="24"/>
        </w:rPr>
        <w:t>:</w:t>
      </w:r>
      <w:r>
        <w:rPr>
          <w:rFonts w:eastAsia="仿宋"/>
          <w:sz w:val="24"/>
        </w:rPr>
        <w:t>对于一些已经在某些产业链环节处于竞争优势地位的企业采取纵向并购产业链其他环节的方式培育高成长型企业。将产业链做长，打通集聚区产业链条，提高资源配置效率。</w:t>
      </w:r>
    </w:p>
    <w:p w:rsidR="00000000" w:rsidRDefault="00000000">
      <w:pPr>
        <w:pStyle w:val="3"/>
        <w:spacing w:beforeLines="50" w:before="156" w:afterLines="50" w:after="156" w:line="440" w:lineRule="exact"/>
        <w:rPr>
          <w:rFonts w:eastAsia="楷体"/>
          <w:sz w:val="28"/>
        </w:rPr>
      </w:pPr>
      <w:bookmarkStart w:id="535" w:name="_Toc4877"/>
      <w:bookmarkStart w:id="536" w:name="_Toc15032"/>
      <w:bookmarkStart w:id="537" w:name="_Toc5416"/>
      <w:bookmarkStart w:id="538" w:name="_Toc133415956"/>
      <w:bookmarkStart w:id="539" w:name="_Toc12437"/>
      <w:bookmarkStart w:id="540" w:name="_Toc28844"/>
      <w:bookmarkStart w:id="541" w:name="_Toc15016"/>
      <w:bookmarkStart w:id="542" w:name="_Toc2301"/>
      <w:r>
        <w:rPr>
          <w:rFonts w:eastAsia="楷体"/>
          <w:sz w:val="28"/>
        </w:rPr>
        <w:lastRenderedPageBreak/>
        <w:t xml:space="preserve">5.2.2 </w:t>
      </w:r>
      <w:r>
        <w:rPr>
          <w:rFonts w:eastAsia="楷体"/>
          <w:sz w:val="28"/>
        </w:rPr>
        <w:t>本地企业培育</w:t>
      </w:r>
      <w:bookmarkEnd w:id="535"/>
      <w:bookmarkEnd w:id="536"/>
      <w:bookmarkEnd w:id="537"/>
      <w:bookmarkEnd w:id="538"/>
      <w:bookmarkEnd w:id="539"/>
      <w:bookmarkEnd w:id="540"/>
      <w:bookmarkEnd w:id="541"/>
      <w:bookmarkEnd w:id="542"/>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5-2-1</w:t>
      </w:r>
      <w:r>
        <w:rPr>
          <w:rFonts w:eastAsia="仿宋"/>
          <w:sz w:val="24"/>
        </w:rPr>
        <w:t>给出了吉林省</w:t>
      </w:r>
      <w:r>
        <w:rPr>
          <w:rFonts w:eastAsia="仿宋"/>
          <w:sz w:val="24"/>
        </w:rPr>
        <w:t>OLED</w:t>
      </w:r>
      <w:r>
        <w:rPr>
          <w:rFonts w:eastAsia="仿宋"/>
          <w:sz w:val="24"/>
        </w:rPr>
        <w:t>发光材料领域主要企业内部整合培育路径，从图中可以看出，加大吉林省</w:t>
      </w:r>
      <w:r>
        <w:rPr>
          <w:rFonts w:eastAsia="仿宋"/>
          <w:sz w:val="24"/>
        </w:rPr>
        <w:t>OLED</w:t>
      </w:r>
      <w:r>
        <w:rPr>
          <w:rFonts w:eastAsia="仿宋"/>
          <w:sz w:val="24"/>
        </w:rPr>
        <w:t>发光材料领域企业培育力度。一方面，通过吉林省本地企业的整合培育，形成一批具有较长产品链的龙头企业，例如，长春海谱润斯科技股份有限公司和吉林奥来德光电材料股份有限公司，还可以通过与其具有互补作用的企业或院所，例如，与吉林大学、中国科学院长春应用化学研究所等相互合作，共同打造具有较强产业带动作用的龙头企业。另一方面，特定环节较强的企业也可以强强联合，形成特定环节的产业优势，例如，长春海谱润斯科技股份有限公司和吉林奥来德光电材料股份有限公司在发光层技术方向上协同创新，共同做强。</w:t>
      </w:r>
    </w:p>
    <w:p w:rsidR="00000000" w:rsidRDefault="000A495B">
      <w:pPr>
        <w:spacing w:line="240" w:lineRule="auto"/>
        <w:jc w:val="center"/>
      </w:pPr>
      <w:r>
        <w:rPr>
          <w:noProof/>
        </w:rPr>
        <w:drawing>
          <wp:inline distT="0" distB="0" distL="0" distR="0">
            <wp:extent cx="5610225" cy="2762250"/>
            <wp:effectExtent l="0" t="0" r="0" b="0"/>
            <wp:docPr id="37"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0225" cy="2762250"/>
                    </a:xfrm>
                    <a:prstGeom prst="rect">
                      <a:avLst/>
                    </a:prstGeom>
                    <a:noFill/>
                    <a:ln>
                      <a:noFill/>
                    </a:ln>
                  </pic:spPr>
                </pic:pic>
              </a:graphicData>
            </a:graphic>
          </wp:inline>
        </w:drawing>
      </w:r>
    </w:p>
    <w:p w:rsidR="00000000" w:rsidRDefault="00000000">
      <w:pPr>
        <w:jc w:val="center"/>
        <w:rPr>
          <w:rFonts w:eastAsia="仿宋"/>
          <w:sz w:val="24"/>
        </w:rPr>
      </w:pPr>
      <w:r>
        <w:rPr>
          <w:rFonts w:eastAsia="仿宋"/>
          <w:sz w:val="24"/>
        </w:rPr>
        <w:t>图</w:t>
      </w:r>
      <w:r>
        <w:rPr>
          <w:rFonts w:eastAsia="仿宋" w:hint="eastAsia"/>
          <w:sz w:val="24"/>
        </w:rPr>
        <w:t>5</w:t>
      </w:r>
      <w:r>
        <w:rPr>
          <w:rFonts w:eastAsia="仿宋"/>
          <w:sz w:val="24"/>
        </w:rPr>
        <w:t>-2-1</w:t>
      </w:r>
      <w:r>
        <w:rPr>
          <w:rFonts w:eastAsia="仿宋" w:hint="eastAsia"/>
          <w:sz w:val="24"/>
        </w:rPr>
        <w:t>吉林省</w:t>
      </w:r>
      <w:r>
        <w:rPr>
          <w:rFonts w:eastAsia="仿宋" w:hint="eastAsia"/>
          <w:sz w:val="24"/>
        </w:rPr>
        <w:t>OLED</w:t>
      </w:r>
      <w:r>
        <w:rPr>
          <w:rFonts w:eastAsia="仿宋" w:hint="eastAsia"/>
          <w:sz w:val="24"/>
        </w:rPr>
        <w:t>发光材料领域</w:t>
      </w:r>
      <w:r>
        <w:rPr>
          <w:rFonts w:eastAsia="仿宋"/>
          <w:sz w:val="24"/>
        </w:rPr>
        <w:t>主要企业内部整合培育路径</w:t>
      </w:r>
    </w:p>
    <w:p w:rsidR="00000000" w:rsidRDefault="00000000">
      <w:pPr>
        <w:pStyle w:val="3"/>
        <w:spacing w:beforeLines="50" w:before="156" w:afterLines="50" w:after="156" w:line="440" w:lineRule="exact"/>
        <w:rPr>
          <w:rFonts w:eastAsia="楷体"/>
          <w:sz w:val="28"/>
        </w:rPr>
      </w:pPr>
      <w:bookmarkStart w:id="543" w:name="_Toc11692"/>
      <w:bookmarkStart w:id="544" w:name="_Toc133415957"/>
      <w:bookmarkStart w:id="545" w:name="_Toc28185"/>
      <w:bookmarkStart w:id="546" w:name="_Toc12424"/>
      <w:bookmarkStart w:id="547" w:name="_Toc20202"/>
      <w:bookmarkStart w:id="548" w:name="_Toc27555"/>
      <w:bookmarkStart w:id="549" w:name="_Toc12529"/>
      <w:bookmarkStart w:id="550" w:name="_Toc21485"/>
      <w:r>
        <w:rPr>
          <w:rFonts w:eastAsia="楷体"/>
          <w:sz w:val="28"/>
        </w:rPr>
        <w:t xml:space="preserve">5.2.3 </w:t>
      </w:r>
      <w:r>
        <w:rPr>
          <w:rFonts w:eastAsia="楷体"/>
          <w:sz w:val="28"/>
        </w:rPr>
        <w:t>外地企业培育</w:t>
      </w:r>
      <w:bookmarkEnd w:id="543"/>
      <w:bookmarkEnd w:id="544"/>
      <w:bookmarkEnd w:id="545"/>
      <w:bookmarkEnd w:id="546"/>
      <w:bookmarkEnd w:id="547"/>
      <w:bookmarkEnd w:id="548"/>
      <w:bookmarkEnd w:id="549"/>
      <w:bookmarkEnd w:id="550"/>
    </w:p>
    <w:p w:rsidR="00000000" w:rsidRDefault="00000000">
      <w:pPr>
        <w:widowControl/>
        <w:spacing w:line="440" w:lineRule="exact"/>
        <w:ind w:firstLineChars="200" w:firstLine="480"/>
        <w:jc w:val="left"/>
        <w:rPr>
          <w:rFonts w:eastAsia="仿宋"/>
          <w:sz w:val="24"/>
        </w:rPr>
      </w:pPr>
      <w:r>
        <w:rPr>
          <w:rFonts w:eastAsia="仿宋"/>
          <w:sz w:val="24"/>
        </w:rPr>
        <w:t>除了培育吉林省内部企业之外，吉林省应以开放姿态引入国内优势企业，激活产业集群，促进企业健康发展，加大国内优势企业</w:t>
      </w:r>
      <w:r>
        <w:rPr>
          <w:rFonts w:eastAsia="仿宋"/>
          <w:sz w:val="24"/>
        </w:rPr>
        <w:t>/</w:t>
      </w:r>
      <w:r>
        <w:rPr>
          <w:rFonts w:eastAsia="仿宋"/>
          <w:sz w:val="24"/>
        </w:rPr>
        <w:t>机构引进、合作力度，如图</w:t>
      </w:r>
      <w:r>
        <w:rPr>
          <w:rFonts w:eastAsia="仿宋"/>
          <w:sz w:val="24"/>
        </w:rPr>
        <w:t>5-2-2</w:t>
      </w:r>
      <w:r>
        <w:rPr>
          <w:rFonts w:eastAsia="仿宋"/>
          <w:sz w:val="24"/>
        </w:rPr>
        <w:t>所示，为国内优势企业</w:t>
      </w:r>
      <w:r>
        <w:rPr>
          <w:rFonts w:eastAsia="仿宋"/>
          <w:sz w:val="24"/>
        </w:rPr>
        <w:t>/</w:t>
      </w:r>
      <w:r>
        <w:rPr>
          <w:rFonts w:eastAsia="仿宋"/>
          <w:sz w:val="24"/>
        </w:rPr>
        <w:t>地区在各个技术分支的分布情况。</w:t>
      </w:r>
    </w:p>
    <w:p w:rsidR="00000000" w:rsidRDefault="00000000">
      <w:pPr>
        <w:widowControl/>
        <w:spacing w:line="440" w:lineRule="exact"/>
        <w:ind w:firstLineChars="200" w:firstLine="480"/>
        <w:jc w:val="left"/>
        <w:rPr>
          <w:rFonts w:eastAsia="仿宋"/>
          <w:sz w:val="24"/>
        </w:rPr>
      </w:pPr>
      <w:r>
        <w:rPr>
          <w:rFonts w:eastAsia="仿宋"/>
          <w:sz w:val="24"/>
        </w:rPr>
        <w:t>从</w:t>
      </w:r>
      <w:r>
        <w:rPr>
          <w:rFonts w:eastAsia="仿宋"/>
          <w:sz w:val="24"/>
        </w:rPr>
        <w:t>OLED</w:t>
      </w:r>
      <w:r>
        <w:rPr>
          <w:rFonts w:eastAsia="仿宋"/>
          <w:sz w:val="24"/>
        </w:rPr>
        <w:t>发光材料技术领域来看，例如，华星光电集团在发光层领域具有较强的技术实力，海洋王照明科技在空穴功能层和电子传输层领域具有明显优势，可以作为这些环节的重点目标引入或合作对象；江苏三月科技、京东方集团等都在特定的领域具有明显的研究优势，可以作为未来技术合作的重点单位。</w:t>
      </w:r>
    </w:p>
    <w:p w:rsidR="00000000" w:rsidRDefault="000A495B">
      <w:pPr>
        <w:jc w:val="center"/>
      </w:pPr>
      <w:r>
        <w:rPr>
          <w:noProof/>
        </w:rPr>
        <w:lastRenderedPageBreak/>
        <w:drawing>
          <wp:inline distT="0" distB="0" distL="0" distR="0">
            <wp:extent cx="5610225" cy="2638425"/>
            <wp:effectExtent l="0" t="0" r="0" b="0"/>
            <wp:docPr id="38"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52">
                      <a:extLst>
                        <a:ext uri="{28A0092B-C50C-407E-A947-70E740481C1C}">
                          <a14:useLocalDpi xmlns:a14="http://schemas.microsoft.com/office/drawing/2010/main" val="0"/>
                        </a:ext>
                      </a:extLst>
                    </a:blip>
                    <a:srcRect t="11261"/>
                    <a:stretch>
                      <a:fillRect/>
                    </a:stretch>
                  </pic:blipFill>
                  <pic:spPr bwMode="auto">
                    <a:xfrm>
                      <a:off x="0" y="0"/>
                      <a:ext cx="5610225" cy="2638425"/>
                    </a:xfrm>
                    <a:prstGeom prst="rect">
                      <a:avLst/>
                    </a:prstGeom>
                    <a:noFill/>
                    <a:ln>
                      <a:noFill/>
                    </a:ln>
                    <a:effectLst/>
                  </pic:spPr>
                </pic:pic>
              </a:graphicData>
            </a:graphic>
          </wp:inline>
        </w:drawing>
      </w:r>
    </w:p>
    <w:p w:rsidR="00000000" w:rsidRDefault="00000000">
      <w:pPr>
        <w:jc w:val="center"/>
        <w:rPr>
          <w:rFonts w:eastAsia="仿宋"/>
          <w:sz w:val="24"/>
        </w:rPr>
      </w:pPr>
      <w:r>
        <w:rPr>
          <w:rFonts w:eastAsia="仿宋"/>
          <w:sz w:val="24"/>
        </w:rPr>
        <w:t>图</w:t>
      </w:r>
      <w:r>
        <w:rPr>
          <w:rFonts w:eastAsia="仿宋" w:hint="eastAsia"/>
          <w:sz w:val="24"/>
        </w:rPr>
        <w:t>5</w:t>
      </w:r>
      <w:r>
        <w:rPr>
          <w:rFonts w:eastAsia="仿宋"/>
          <w:sz w:val="24"/>
        </w:rPr>
        <w:t>-2-2</w:t>
      </w:r>
      <w:r>
        <w:rPr>
          <w:rFonts w:eastAsia="仿宋"/>
          <w:sz w:val="24"/>
        </w:rPr>
        <w:t>国内优势企业</w:t>
      </w:r>
      <w:r>
        <w:rPr>
          <w:rFonts w:eastAsia="仿宋"/>
          <w:sz w:val="24"/>
        </w:rPr>
        <w:t>/</w:t>
      </w:r>
      <w:r>
        <w:rPr>
          <w:rFonts w:eastAsia="仿宋"/>
          <w:sz w:val="24"/>
        </w:rPr>
        <w:t>机构引进、合作分析</w:t>
      </w:r>
    </w:p>
    <w:p w:rsidR="00000000" w:rsidRDefault="00000000">
      <w:pPr>
        <w:pStyle w:val="3"/>
        <w:spacing w:beforeLines="50" w:before="156" w:afterLines="50" w:after="156" w:line="440" w:lineRule="exact"/>
        <w:rPr>
          <w:rFonts w:eastAsia="楷体"/>
          <w:sz w:val="28"/>
        </w:rPr>
      </w:pPr>
      <w:bookmarkStart w:id="551" w:name="_Toc133415958"/>
      <w:bookmarkStart w:id="552" w:name="_Toc4403"/>
      <w:bookmarkStart w:id="553" w:name="_Toc13366"/>
      <w:bookmarkStart w:id="554" w:name="_Toc3132"/>
      <w:bookmarkStart w:id="555" w:name="_Toc15429"/>
      <w:bookmarkStart w:id="556" w:name="_Toc12959"/>
      <w:bookmarkStart w:id="557" w:name="_Toc18068"/>
      <w:bookmarkStart w:id="558" w:name="_Toc5078"/>
      <w:r>
        <w:rPr>
          <w:rFonts w:eastAsia="楷体"/>
          <w:sz w:val="28"/>
        </w:rPr>
        <w:t xml:space="preserve">5.2.4 </w:t>
      </w:r>
      <w:r>
        <w:rPr>
          <w:rFonts w:eastAsia="楷体"/>
          <w:sz w:val="28"/>
        </w:rPr>
        <w:t>国外企业培育</w:t>
      </w:r>
      <w:bookmarkEnd w:id="551"/>
      <w:bookmarkEnd w:id="552"/>
      <w:bookmarkEnd w:id="553"/>
      <w:bookmarkEnd w:id="554"/>
      <w:bookmarkEnd w:id="555"/>
      <w:bookmarkEnd w:id="556"/>
      <w:bookmarkEnd w:id="557"/>
      <w:bookmarkEnd w:id="558"/>
    </w:p>
    <w:p w:rsidR="00000000" w:rsidRDefault="00000000">
      <w:pPr>
        <w:widowControl/>
        <w:spacing w:line="440" w:lineRule="exact"/>
        <w:ind w:firstLineChars="200" w:firstLine="480"/>
        <w:jc w:val="left"/>
        <w:rPr>
          <w:rFonts w:eastAsia="仿宋"/>
          <w:sz w:val="24"/>
        </w:rPr>
      </w:pPr>
      <w:r>
        <w:rPr>
          <w:rFonts w:eastAsia="仿宋"/>
          <w:sz w:val="24"/>
        </w:rPr>
        <w:t>加大国外优势企业</w:t>
      </w:r>
      <w:r>
        <w:rPr>
          <w:rFonts w:eastAsia="仿宋"/>
          <w:sz w:val="24"/>
        </w:rPr>
        <w:t>/</w:t>
      </w:r>
      <w:r>
        <w:rPr>
          <w:rFonts w:eastAsia="仿宋"/>
          <w:sz w:val="24"/>
        </w:rPr>
        <w:t>机构引进、合作力度，如图</w:t>
      </w:r>
      <w:r>
        <w:rPr>
          <w:rFonts w:eastAsia="仿宋"/>
          <w:sz w:val="24"/>
        </w:rPr>
        <w:t>5-2-3</w:t>
      </w:r>
      <w:r>
        <w:rPr>
          <w:rFonts w:eastAsia="仿宋"/>
          <w:sz w:val="24"/>
        </w:rPr>
        <w:t>所示，为国外优势企业在各个技术分支上的分布情况；</w:t>
      </w:r>
    </w:p>
    <w:p w:rsidR="00000000" w:rsidRDefault="00000000">
      <w:pPr>
        <w:widowControl/>
        <w:spacing w:line="440" w:lineRule="exact"/>
        <w:ind w:firstLineChars="200" w:firstLine="480"/>
        <w:jc w:val="left"/>
        <w:rPr>
          <w:rFonts w:eastAsia="仿宋"/>
          <w:sz w:val="24"/>
        </w:rPr>
      </w:pPr>
      <w:r>
        <w:rPr>
          <w:rFonts w:eastAsia="仿宋"/>
          <w:sz w:val="24"/>
        </w:rPr>
        <w:t>从全球范围来看，在</w:t>
      </w:r>
      <w:r>
        <w:rPr>
          <w:rFonts w:eastAsia="仿宋"/>
          <w:sz w:val="24"/>
        </w:rPr>
        <w:t>OLED</w:t>
      </w:r>
      <w:r>
        <w:rPr>
          <w:rFonts w:eastAsia="仿宋"/>
          <w:sz w:val="24"/>
        </w:rPr>
        <w:t>发光材料技术领域，一些</w:t>
      </w:r>
      <w:r>
        <w:rPr>
          <w:rFonts w:eastAsia="仿宋"/>
          <w:sz w:val="24"/>
        </w:rPr>
        <w:t>OLED</w:t>
      </w:r>
      <w:r>
        <w:rPr>
          <w:rFonts w:eastAsia="仿宋"/>
          <w:sz w:val="24"/>
        </w:rPr>
        <w:t>发光材料领域的跨国巨头，如三星显示、</w:t>
      </w:r>
      <w:r>
        <w:rPr>
          <w:rFonts w:eastAsia="仿宋"/>
          <w:sz w:val="24"/>
        </w:rPr>
        <w:t>LG</w:t>
      </w:r>
      <w:r>
        <w:rPr>
          <w:rFonts w:eastAsia="仿宋"/>
          <w:sz w:val="24"/>
        </w:rPr>
        <w:t>显示器股份有限公司和马克专利公司等都可以作为企业引入或市场合作重点对象。这些跨国企业很多在中国目前已经有分支机构，如三星显示在深圳的分公司深圳三星视界有限公司</w:t>
      </w:r>
    </w:p>
    <w:p w:rsidR="00000000" w:rsidRDefault="00000000">
      <w:pPr>
        <w:widowControl/>
        <w:spacing w:line="440" w:lineRule="exact"/>
        <w:ind w:firstLineChars="200" w:firstLine="480"/>
        <w:jc w:val="left"/>
        <w:rPr>
          <w:rFonts w:eastAsia="仿宋"/>
          <w:sz w:val="24"/>
        </w:rPr>
      </w:pPr>
      <w:r>
        <w:rPr>
          <w:rFonts w:eastAsia="仿宋"/>
          <w:sz w:val="24"/>
        </w:rPr>
        <w:t>，如能将这些企业引入吉林省，将很大程度上提高知名度，激发创新活力，发挥产业集群的技术及人才溢出效应，促进集群快速健康发展。</w:t>
      </w:r>
    </w:p>
    <w:p w:rsidR="00000000" w:rsidRDefault="000A495B">
      <w:pPr>
        <w:pStyle w:val="afd"/>
        <w:rPr>
          <w:rFonts w:cs="Times New Roman"/>
        </w:rPr>
      </w:pPr>
      <w:r>
        <w:rPr>
          <w:noProof/>
        </w:rPr>
        <w:drawing>
          <wp:inline distT="0" distB="0" distL="0" distR="0">
            <wp:extent cx="5610225" cy="2486025"/>
            <wp:effectExtent l="0" t="0" r="0" b="0"/>
            <wp:docPr id="39"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53" cstate="print">
                      <a:extLst>
                        <a:ext uri="{28A0092B-C50C-407E-A947-70E740481C1C}">
                          <a14:useLocalDpi xmlns:a14="http://schemas.microsoft.com/office/drawing/2010/main" val="0"/>
                        </a:ext>
                      </a:extLst>
                    </a:blip>
                    <a:srcRect t="11380"/>
                    <a:stretch>
                      <a:fillRect/>
                    </a:stretch>
                  </pic:blipFill>
                  <pic:spPr bwMode="auto">
                    <a:xfrm>
                      <a:off x="0" y="0"/>
                      <a:ext cx="5610225" cy="2486025"/>
                    </a:xfrm>
                    <a:prstGeom prst="rect">
                      <a:avLst/>
                    </a:prstGeom>
                    <a:noFill/>
                    <a:ln>
                      <a:noFill/>
                    </a:ln>
                    <a:effectLst/>
                  </pic:spPr>
                </pic:pic>
              </a:graphicData>
            </a:graphic>
          </wp:inline>
        </w:drawing>
      </w:r>
    </w:p>
    <w:p w:rsidR="00000000" w:rsidRDefault="00000000">
      <w:pPr>
        <w:jc w:val="center"/>
        <w:rPr>
          <w:rFonts w:eastAsia="仿宋"/>
          <w:sz w:val="24"/>
        </w:rPr>
      </w:pPr>
      <w:r>
        <w:rPr>
          <w:rFonts w:eastAsia="仿宋"/>
          <w:sz w:val="24"/>
        </w:rPr>
        <w:t>图</w:t>
      </w:r>
      <w:r>
        <w:rPr>
          <w:rFonts w:eastAsia="仿宋" w:hint="eastAsia"/>
          <w:sz w:val="24"/>
        </w:rPr>
        <w:t>5</w:t>
      </w:r>
      <w:r>
        <w:rPr>
          <w:rFonts w:eastAsia="仿宋"/>
          <w:sz w:val="24"/>
        </w:rPr>
        <w:t>-2-3</w:t>
      </w:r>
      <w:r>
        <w:rPr>
          <w:rFonts w:eastAsia="仿宋"/>
          <w:sz w:val="24"/>
        </w:rPr>
        <w:t>国外优势企业</w:t>
      </w:r>
      <w:r>
        <w:rPr>
          <w:rFonts w:eastAsia="仿宋"/>
          <w:sz w:val="24"/>
        </w:rPr>
        <w:t>/</w:t>
      </w:r>
      <w:r>
        <w:rPr>
          <w:rFonts w:eastAsia="仿宋"/>
          <w:sz w:val="24"/>
        </w:rPr>
        <w:t>机构引进、合作分析</w:t>
      </w:r>
    </w:p>
    <w:p w:rsidR="00000000" w:rsidRDefault="00000000">
      <w:pPr>
        <w:pStyle w:val="2"/>
        <w:spacing w:before="156" w:after="156"/>
        <w:jc w:val="both"/>
        <w:rPr>
          <w:rFonts w:eastAsia="宋体"/>
          <w:szCs w:val="28"/>
        </w:rPr>
      </w:pPr>
      <w:bookmarkStart w:id="559" w:name="_Toc133415959"/>
      <w:bookmarkStart w:id="560" w:name="_Toc27733"/>
      <w:bookmarkStart w:id="561" w:name="_Toc10035"/>
      <w:bookmarkStart w:id="562" w:name="_Toc24940"/>
      <w:bookmarkStart w:id="563" w:name="_Toc5013"/>
      <w:bookmarkStart w:id="564" w:name="_Toc3251"/>
      <w:bookmarkStart w:id="565" w:name="_Toc19589"/>
      <w:bookmarkStart w:id="566" w:name="_Toc10259"/>
      <w:r>
        <w:rPr>
          <w:rFonts w:eastAsia="宋体"/>
          <w:szCs w:val="28"/>
        </w:rPr>
        <w:lastRenderedPageBreak/>
        <w:t xml:space="preserve">5.3 </w:t>
      </w:r>
      <w:r>
        <w:rPr>
          <w:rFonts w:eastAsia="宋体"/>
          <w:szCs w:val="28"/>
        </w:rPr>
        <w:t>技术创新引进提升路径</w:t>
      </w:r>
      <w:bookmarkEnd w:id="559"/>
      <w:bookmarkEnd w:id="560"/>
      <w:bookmarkEnd w:id="561"/>
      <w:bookmarkEnd w:id="562"/>
      <w:bookmarkEnd w:id="563"/>
      <w:bookmarkEnd w:id="564"/>
      <w:bookmarkEnd w:id="565"/>
      <w:bookmarkEnd w:id="566"/>
    </w:p>
    <w:p w:rsidR="00000000" w:rsidRDefault="00000000">
      <w:pPr>
        <w:pStyle w:val="3"/>
        <w:spacing w:beforeLines="50" w:before="156" w:afterLines="50" w:after="156" w:line="440" w:lineRule="exact"/>
        <w:rPr>
          <w:rFonts w:eastAsia="楷体"/>
          <w:sz w:val="28"/>
        </w:rPr>
      </w:pPr>
      <w:bookmarkStart w:id="567" w:name="_Toc1789"/>
      <w:bookmarkStart w:id="568" w:name="_Toc133415960"/>
      <w:bookmarkStart w:id="569" w:name="_Toc8900"/>
      <w:bookmarkStart w:id="570" w:name="_Toc19438"/>
      <w:bookmarkStart w:id="571" w:name="_Toc19406"/>
      <w:bookmarkStart w:id="572" w:name="_Toc591"/>
      <w:bookmarkStart w:id="573" w:name="_Toc28131"/>
      <w:bookmarkStart w:id="574" w:name="_Toc28138"/>
      <w:r>
        <w:rPr>
          <w:rFonts w:eastAsia="楷体"/>
          <w:sz w:val="28"/>
        </w:rPr>
        <w:t xml:space="preserve">5.3.1 </w:t>
      </w:r>
      <w:bookmarkEnd w:id="567"/>
      <w:bookmarkEnd w:id="568"/>
      <w:r>
        <w:rPr>
          <w:rFonts w:eastAsia="楷体"/>
          <w:sz w:val="28"/>
        </w:rPr>
        <w:t>高价值专利的收储</w:t>
      </w:r>
      <w:bookmarkEnd w:id="569"/>
      <w:bookmarkEnd w:id="570"/>
      <w:bookmarkEnd w:id="571"/>
      <w:bookmarkEnd w:id="572"/>
      <w:bookmarkEnd w:id="573"/>
      <w:bookmarkEnd w:id="574"/>
    </w:p>
    <w:p w:rsidR="00000000" w:rsidRDefault="00000000">
      <w:pPr>
        <w:widowControl/>
        <w:spacing w:line="440" w:lineRule="exact"/>
        <w:ind w:firstLineChars="200" w:firstLine="480"/>
        <w:jc w:val="left"/>
        <w:rPr>
          <w:rFonts w:eastAsia="仿宋"/>
          <w:sz w:val="24"/>
        </w:rPr>
      </w:pPr>
      <w:r>
        <w:rPr>
          <w:rFonts w:eastAsia="仿宋"/>
          <w:sz w:val="24"/>
        </w:rPr>
        <w:t>专利收储目标导航流程：</w:t>
      </w:r>
    </w:p>
    <w:p w:rsidR="00000000" w:rsidRDefault="00000000">
      <w:pPr>
        <w:widowControl/>
        <w:spacing w:line="440" w:lineRule="exact"/>
        <w:ind w:firstLineChars="200" w:firstLine="480"/>
        <w:jc w:val="left"/>
        <w:rPr>
          <w:rFonts w:eastAsia="仿宋"/>
          <w:sz w:val="24"/>
        </w:rPr>
      </w:pPr>
      <w:r>
        <w:rPr>
          <w:rFonts w:eastAsia="仿宋"/>
          <w:sz w:val="24"/>
        </w:rPr>
        <w:t>确定主体类型，作为被收储专利的目标主体，可以是企业、高校院所与个人；</w:t>
      </w:r>
    </w:p>
    <w:p w:rsidR="00000000" w:rsidRDefault="00000000">
      <w:pPr>
        <w:widowControl/>
        <w:spacing w:line="440" w:lineRule="exact"/>
        <w:ind w:firstLineChars="200" w:firstLine="480"/>
        <w:jc w:val="left"/>
        <w:rPr>
          <w:rFonts w:eastAsia="仿宋"/>
          <w:sz w:val="24"/>
        </w:rPr>
      </w:pPr>
      <w:r>
        <w:rPr>
          <w:rFonts w:eastAsia="仿宋"/>
          <w:sz w:val="24"/>
        </w:rPr>
        <w:t>专利收储应该是长春市根据实际情况重点发展的技术领域；</w:t>
      </w:r>
    </w:p>
    <w:p w:rsidR="00000000" w:rsidRDefault="00000000">
      <w:pPr>
        <w:widowControl/>
        <w:spacing w:line="440" w:lineRule="exact"/>
        <w:ind w:firstLineChars="200" w:firstLine="480"/>
        <w:jc w:val="left"/>
        <w:rPr>
          <w:rFonts w:eastAsia="仿宋"/>
          <w:sz w:val="24"/>
        </w:rPr>
      </w:pPr>
      <w:r>
        <w:rPr>
          <w:rFonts w:eastAsia="仿宋"/>
          <w:sz w:val="24"/>
        </w:rPr>
        <w:t>选择技术领域下竞争主体专利申请量排名，以体现各主体在该技术上的研发实力以及研发成果；</w:t>
      </w:r>
    </w:p>
    <w:p w:rsidR="00000000" w:rsidRDefault="00000000">
      <w:pPr>
        <w:widowControl/>
        <w:spacing w:line="440" w:lineRule="exact"/>
        <w:ind w:firstLineChars="200" w:firstLine="480"/>
        <w:jc w:val="left"/>
        <w:rPr>
          <w:rFonts w:eastAsia="仿宋"/>
          <w:sz w:val="24"/>
        </w:rPr>
      </w:pPr>
      <w:r>
        <w:rPr>
          <w:rFonts w:eastAsia="仿宋"/>
          <w:sz w:val="24"/>
        </w:rPr>
        <w:t>其他因素，特别是专利自身的收储价值，考虑战略价值、市场价值、经济价值、技术价值和法律价值五个价值维度，整合专利价值相关的</w:t>
      </w:r>
      <w:r>
        <w:rPr>
          <w:rFonts w:eastAsia="仿宋"/>
          <w:sz w:val="24"/>
        </w:rPr>
        <w:t>80+</w:t>
      </w:r>
      <w:r>
        <w:rPr>
          <w:rFonts w:eastAsia="仿宋"/>
          <w:sz w:val="24"/>
        </w:rPr>
        <w:t>个不同指标，同时基于历史上的专利成交案例等进行调整，最终提供专利价值的评估数值。</w:t>
      </w:r>
    </w:p>
    <w:p w:rsidR="00000000" w:rsidRDefault="00000000">
      <w:pPr>
        <w:widowControl/>
        <w:spacing w:line="440" w:lineRule="exact"/>
        <w:ind w:firstLineChars="200" w:firstLine="480"/>
        <w:jc w:val="left"/>
        <w:rPr>
          <w:rFonts w:eastAsia="仿宋"/>
          <w:sz w:val="24"/>
        </w:rPr>
      </w:pPr>
      <w:r>
        <w:rPr>
          <w:rFonts w:eastAsia="仿宋"/>
          <w:sz w:val="24"/>
        </w:rPr>
        <w:t>对</w:t>
      </w:r>
      <w:r>
        <w:rPr>
          <w:rFonts w:eastAsia="仿宋"/>
          <w:sz w:val="24"/>
        </w:rPr>
        <w:t>OLED</w:t>
      </w:r>
      <w:r>
        <w:rPr>
          <w:rFonts w:eastAsia="仿宋"/>
          <w:sz w:val="24"/>
        </w:rPr>
        <w:t>发光材料领域的专利进行筛选，选取专利价值大于</w:t>
      </w:r>
      <w:r>
        <w:rPr>
          <w:rFonts w:eastAsia="仿宋"/>
          <w:sz w:val="24"/>
        </w:rPr>
        <w:t>700</w:t>
      </w:r>
      <w:r>
        <w:rPr>
          <w:rFonts w:eastAsia="仿宋"/>
          <w:sz w:val="24"/>
        </w:rPr>
        <w:t>万的有效专利，得到</w:t>
      </w:r>
      <w:r>
        <w:rPr>
          <w:rFonts w:eastAsia="仿宋"/>
          <w:sz w:val="24"/>
        </w:rPr>
        <w:t>OLED</w:t>
      </w:r>
      <w:r>
        <w:rPr>
          <w:rFonts w:eastAsia="仿宋"/>
          <w:sz w:val="24"/>
        </w:rPr>
        <w:t>发光材料领域高价值专利列表。</w:t>
      </w:r>
    </w:p>
    <w:p w:rsidR="00000000" w:rsidRDefault="00000000">
      <w:pPr>
        <w:pStyle w:val="zy"/>
        <w:spacing w:beforeLines="0" w:before="0" w:afterLines="0" w:after="0"/>
        <w:rPr>
          <w:rFonts w:eastAsia="仿宋"/>
          <w:b w:val="0"/>
          <w:color w:val="auto"/>
        </w:rPr>
      </w:pPr>
      <w:r>
        <w:rPr>
          <w:rFonts w:eastAsia="仿宋"/>
          <w:b w:val="0"/>
          <w:color w:val="auto"/>
        </w:rPr>
        <w:t>表</w:t>
      </w:r>
      <w:r>
        <w:rPr>
          <w:rFonts w:eastAsia="仿宋" w:hint="eastAsia"/>
          <w:b w:val="0"/>
          <w:color w:val="auto"/>
        </w:rPr>
        <w:t>5</w:t>
      </w:r>
      <w:r>
        <w:rPr>
          <w:rFonts w:eastAsia="仿宋"/>
          <w:b w:val="0"/>
          <w:color w:val="auto"/>
        </w:rPr>
        <w:t>-3-1</w:t>
      </w:r>
      <w:r>
        <w:rPr>
          <w:rFonts w:eastAsia="仿宋" w:hint="eastAsia"/>
          <w:b w:val="0"/>
          <w:color w:val="auto"/>
        </w:rPr>
        <w:t xml:space="preserve"> OLED</w:t>
      </w:r>
      <w:r>
        <w:rPr>
          <w:rFonts w:eastAsia="仿宋" w:hint="eastAsia"/>
          <w:b w:val="0"/>
          <w:color w:val="auto"/>
        </w:rPr>
        <w:t>发光材料领域</w:t>
      </w:r>
      <w:r>
        <w:rPr>
          <w:rFonts w:eastAsia="仿宋"/>
          <w:b w:val="0"/>
          <w:color w:val="auto"/>
        </w:rPr>
        <w:t>高价值专利列表</w:t>
      </w:r>
    </w:p>
    <w:tbl>
      <w:tblPr>
        <w:tblW w:w="4997" w:type="pct"/>
        <w:jc w:val="center"/>
        <w:tblInd w:w="0" w:type="dxa"/>
        <w:tblLook w:val="0000" w:firstRow="0" w:lastRow="0" w:firstColumn="0" w:lastColumn="0" w:noHBand="0" w:noVBand="0"/>
      </w:tblPr>
      <w:tblGrid>
        <w:gridCol w:w="436"/>
        <w:gridCol w:w="2025"/>
        <w:gridCol w:w="5264"/>
        <w:gridCol w:w="1332"/>
      </w:tblGrid>
      <w:tr w:rsidR="00000000">
        <w:trPr>
          <w:jc w:val="center"/>
        </w:trPr>
        <w:tc>
          <w:tcPr>
            <w:tcW w:w="250"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pStyle w:val="sy"/>
              <w:jc w:val="center"/>
              <w:rPr>
                <w:rFonts w:ascii="Times New Roman" w:hAnsi="Times New Roman"/>
                <w:lang w:eastAsia="en-US"/>
              </w:rPr>
            </w:pPr>
            <w:r>
              <w:rPr>
                <w:rFonts w:ascii="Times New Roman" w:hAnsi="Times New Roman"/>
                <w:lang w:eastAsia="en-US"/>
              </w:rPr>
              <w:t>序号</w:t>
            </w:r>
          </w:p>
        </w:tc>
        <w:tc>
          <w:tcPr>
            <w:tcW w:w="1090"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pStyle w:val="sy"/>
              <w:jc w:val="center"/>
              <w:rPr>
                <w:rFonts w:ascii="Times New Roman" w:hAnsi="Times New Roman"/>
                <w:lang w:eastAsia="en-US" w:bidi="ar"/>
              </w:rPr>
            </w:pPr>
            <w:r>
              <w:rPr>
                <w:rFonts w:ascii="Times New Roman" w:hAnsi="Times New Roman"/>
                <w:lang w:eastAsia="en-US" w:bidi="ar"/>
              </w:rPr>
              <w:t>公开</w:t>
            </w:r>
            <w:r>
              <w:rPr>
                <w:rFonts w:ascii="Times New Roman" w:hAnsi="Times New Roman"/>
                <w:lang w:eastAsia="en-US" w:bidi="ar"/>
              </w:rPr>
              <w:t>(</w:t>
            </w:r>
            <w:r>
              <w:rPr>
                <w:rFonts w:ascii="Times New Roman" w:hAnsi="Times New Roman"/>
                <w:lang w:eastAsia="en-US" w:bidi="ar"/>
              </w:rPr>
              <w:t>公告</w:t>
            </w:r>
            <w:r>
              <w:rPr>
                <w:rFonts w:ascii="Times New Roman" w:hAnsi="Times New Roman"/>
                <w:lang w:eastAsia="en-US" w:bidi="ar"/>
              </w:rPr>
              <w:t>)</w:t>
            </w:r>
            <w:r>
              <w:rPr>
                <w:rFonts w:ascii="Times New Roman" w:hAnsi="Times New Roman"/>
                <w:lang w:eastAsia="en-US" w:bidi="ar"/>
              </w:rPr>
              <w:t>号</w:t>
            </w:r>
          </w:p>
        </w:tc>
        <w:tc>
          <w:tcPr>
            <w:tcW w:w="2914"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pStyle w:val="sy"/>
              <w:jc w:val="center"/>
              <w:rPr>
                <w:rFonts w:ascii="Times New Roman" w:hAnsi="Times New Roman"/>
                <w:lang w:eastAsia="en-US" w:bidi="ar"/>
              </w:rPr>
            </w:pPr>
            <w:r>
              <w:rPr>
                <w:rFonts w:ascii="Times New Roman" w:hAnsi="Times New Roman"/>
                <w:lang w:eastAsia="en-US" w:bidi="ar"/>
              </w:rPr>
              <w:t>标题</w:t>
            </w:r>
          </w:p>
        </w:tc>
        <w:tc>
          <w:tcPr>
            <w:tcW w:w="744"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pStyle w:val="sy"/>
              <w:jc w:val="center"/>
              <w:rPr>
                <w:rFonts w:ascii="Times New Roman" w:hAnsi="Times New Roman"/>
                <w:lang w:eastAsia="en-US" w:bidi="ar"/>
              </w:rPr>
            </w:pPr>
            <w:r>
              <w:rPr>
                <w:rFonts w:ascii="Times New Roman" w:hAnsi="Times New Roman"/>
                <w:lang w:eastAsia="en-US" w:bidi="ar"/>
              </w:rPr>
              <w:t>申请日</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54" w:history="1">
              <w:r>
                <w:rPr>
                  <w:rStyle w:val="af5"/>
                  <w:rFonts w:eastAsia="仿宋"/>
                  <w:color w:val="auto"/>
                  <w:szCs w:val="21"/>
                  <w:u w:val="none"/>
                </w:rPr>
                <w:t>JP5762667B2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光抽出誘電層を有する有機二重面発光ダイオード</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2005-12-21</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55" w:history="1">
              <w:r>
                <w:rPr>
                  <w:rStyle w:val="af5"/>
                  <w:rFonts w:eastAsia="仿宋"/>
                  <w:color w:val="auto"/>
                  <w:szCs w:val="21"/>
                  <w:u w:val="none"/>
                </w:rPr>
                <w:t>KR101234948B1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유기</w:t>
            </w:r>
            <w:r>
              <w:rPr>
                <w:rFonts w:eastAsia="仿宋"/>
                <w:kern w:val="0"/>
                <w:szCs w:val="21"/>
                <w:lang w:bidi="ar"/>
              </w:rPr>
              <w:t xml:space="preserve"> EL </w:t>
            </w:r>
            <w:r>
              <w:rPr>
                <w:rFonts w:eastAsia="仿宋"/>
                <w:kern w:val="0"/>
                <w:szCs w:val="21"/>
                <w:lang w:bidi="ar"/>
              </w:rPr>
              <w:t>소자의</w:t>
            </w:r>
            <w:r>
              <w:rPr>
                <w:rFonts w:eastAsia="仿宋"/>
                <w:kern w:val="0"/>
                <w:szCs w:val="21"/>
                <w:lang w:bidi="ar"/>
              </w:rPr>
              <w:t xml:space="preserve"> </w:t>
            </w:r>
            <w:r>
              <w:rPr>
                <w:rFonts w:eastAsia="仿宋"/>
                <w:kern w:val="0"/>
                <w:szCs w:val="21"/>
                <w:lang w:bidi="ar"/>
              </w:rPr>
              <w:t>제조</w:t>
            </w:r>
            <w:r>
              <w:rPr>
                <w:rFonts w:eastAsia="仿宋"/>
                <w:kern w:val="0"/>
                <w:szCs w:val="21"/>
                <w:lang w:bidi="ar"/>
              </w:rPr>
              <w:t xml:space="preserve"> </w:t>
            </w:r>
            <w:r>
              <w:rPr>
                <w:rFonts w:eastAsia="仿宋"/>
                <w:kern w:val="0"/>
                <w:szCs w:val="21"/>
                <w:lang w:bidi="ar"/>
              </w:rPr>
              <w:t>방법</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2006-08-22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3</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56" w:history="1">
              <w:r>
                <w:rPr>
                  <w:rStyle w:val="af5"/>
                  <w:rFonts w:eastAsia="仿宋"/>
                  <w:color w:val="auto"/>
                  <w:szCs w:val="21"/>
                  <w:u w:val="none"/>
                </w:rPr>
                <w:t>CN108695438B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w:t>
            </w:r>
            <w:r>
              <w:rPr>
                <w:rFonts w:eastAsia="仿宋"/>
                <w:kern w:val="0"/>
                <w:szCs w:val="21"/>
                <w:lang w:bidi="ar"/>
              </w:rPr>
              <w:t>QLED</w:t>
            </w:r>
            <w:r>
              <w:rPr>
                <w:rFonts w:eastAsia="仿宋"/>
                <w:kern w:val="0"/>
                <w:szCs w:val="21"/>
                <w:lang w:bidi="ar"/>
              </w:rPr>
              <w:t>器件、显示装置及其制备方法</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2017-04-12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4</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57" w:history="1">
              <w:r>
                <w:rPr>
                  <w:rStyle w:val="af5"/>
                  <w:rFonts w:eastAsia="仿宋"/>
                  <w:color w:val="auto"/>
                  <w:szCs w:val="21"/>
                  <w:u w:val="none"/>
                </w:rPr>
                <w:t>CN109545996A</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一种量子点发光二极管及制备方法</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2018-11-28</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5</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58" w:history="1">
              <w:r>
                <w:rPr>
                  <w:rStyle w:val="af5"/>
                  <w:rFonts w:eastAsia="仿宋"/>
                  <w:color w:val="auto"/>
                  <w:szCs w:val="21"/>
                  <w:u w:val="none"/>
                </w:rPr>
                <w:t>US20210391562A1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Method for producing a pixel of an OLED micro-screen</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2019-10-22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6</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59" w:history="1">
              <w:r>
                <w:rPr>
                  <w:rStyle w:val="af5"/>
                  <w:rFonts w:eastAsia="仿宋"/>
                  <w:color w:val="auto"/>
                  <w:szCs w:val="21"/>
                  <w:u w:val="none"/>
                </w:rPr>
                <w:t>TWI740036B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有機發光裝置及其製造方法</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2018-05-03</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7</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0" w:history="1">
              <w:r>
                <w:rPr>
                  <w:rStyle w:val="af5"/>
                  <w:rFonts w:eastAsia="仿宋"/>
                  <w:color w:val="auto"/>
                  <w:szCs w:val="21"/>
                  <w:u w:val="none"/>
                </w:rPr>
                <w:t>US20090045728A1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Electronic device with a layer structure of organic layers</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2006-12-22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8</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1" w:history="1">
              <w:r>
                <w:rPr>
                  <w:rStyle w:val="af5"/>
                  <w:rFonts w:eastAsia="仿宋"/>
                  <w:color w:val="auto"/>
                  <w:szCs w:val="21"/>
                  <w:u w:val="none"/>
                </w:rPr>
                <w:t>CN110462870B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显示基板、制造显示基板的方法和显示设备</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2019-06-24</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9</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2" w:history="1">
              <w:r>
                <w:rPr>
                  <w:rStyle w:val="af5"/>
                  <w:rFonts w:eastAsia="仿宋"/>
                  <w:color w:val="auto"/>
                  <w:szCs w:val="21"/>
                  <w:u w:val="none"/>
                </w:rPr>
                <w:t>US11545652B2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Organic light-emitting display panel and manufacturing method thereof</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2020-11-12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10</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3" w:history="1">
              <w:r>
                <w:rPr>
                  <w:rStyle w:val="af5"/>
                  <w:rFonts w:eastAsia="仿宋"/>
                  <w:color w:val="auto"/>
                  <w:szCs w:val="21"/>
                  <w:u w:val="none"/>
                </w:rPr>
                <w:t>KR1020150014776A</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발명의</w:t>
            </w:r>
            <w:r>
              <w:rPr>
                <w:rFonts w:eastAsia="仿宋"/>
                <w:kern w:val="0"/>
                <w:szCs w:val="21"/>
                <w:lang w:bidi="ar"/>
              </w:rPr>
              <w:t xml:space="preserve"> </w:t>
            </w:r>
            <w:r>
              <w:rPr>
                <w:rFonts w:eastAsia="仿宋"/>
                <w:kern w:val="0"/>
                <w:szCs w:val="21"/>
                <w:lang w:bidi="ar"/>
              </w:rPr>
              <w:t>명칭</w:t>
            </w:r>
            <w:r>
              <w:rPr>
                <w:rFonts w:eastAsia="仿宋"/>
                <w:kern w:val="0"/>
                <w:szCs w:val="21"/>
                <w:lang w:bidi="ar"/>
              </w:rPr>
              <w:t xml:space="preserve"> </w:t>
            </w:r>
            <w:r>
              <w:rPr>
                <w:rFonts w:eastAsia="仿宋"/>
                <w:kern w:val="0"/>
                <w:szCs w:val="21"/>
                <w:lang w:bidi="ar"/>
              </w:rPr>
              <w:t>헤테로고리</w:t>
            </w:r>
            <w:r>
              <w:rPr>
                <w:rFonts w:eastAsia="仿宋"/>
                <w:kern w:val="0"/>
                <w:szCs w:val="21"/>
                <w:lang w:bidi="ar"/>
              </w:rPr>
              <w:t xml:space="preserve"> </w:t>
            </w:r>
            <w:r>
              <w:rPr>
                <w:rFonts w:eastAsia="仿宋"/>
                <w:kern w:val="0"/>
                <w:szCs w:val="21"/>
                <w:lang w:bidi="ar"/>
              </w:rPr>
              <w:t>화합물</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이를</w:t>
            </w:r>
            <w:r>
              <w:rPr>
                <w:rFonts w:eastAsia="仿宋"/>
                <w:kern w:val="0"/>
                <w:szCs w:val="21"/>
                <w:lang w:bidi="ar"/>
              </w:rPr>
              <w:t xml:space="preserve"> </w:t>
            </w:r>
            <w:r>
              <w:rPr>
                <w:rFonts w:eastAsia="仿宋"/>
                <w:kern w:val="0"/>
                <w:szCs w:val="21"/>
                <w:lang w:bidi="ar"/>
              </w:rPr>
              <w:t>포함한</w:t>
            </w:r>
            <w:r>
              <w:rPr>
                <w:rFonts w:eastAsia="仿宋"/>
                <w:kern w:val="0"/>
                <w:szCs w:val="21"/>
                <w:lang w:bidi="ar"/>
              </w:rPr>
              <w:t xml:space="preserve"> </w:t>
            </w:r>
            <w:r>
              <w:rPr>
                <w:rFonts w:eastAsia="仿宋"/>
                <w:kern w:val="0"/>
                <w:szCs w:val="21"/>
                <w:lang w:bidi="ar"/>
              </w:rPr>
              <w:t>유기</w:t>
            </w:r>
            <w:r>
              <w:rPr>
                <w:rFonts w:eastAsia="仿宋"/>
                <w:kern w:val="0"/>
                <w:szCs w:val="21"/>
                <w:lang w:bidi="ar"/>
              </w:rPr>
              <w:t xml:space="preserve"> </w:t>
            </w:r>
            <w:r>
              <w:rPr>
                <w:rFonts w:eastAsia="仿宋"/>
                <w:kern w:val="0"/>
                <w:szCs w:val="21"/>
                <w:lang w:bidi="ar"/>
              </w:rPr>
              <w:t>발광</w:t>
            </w:r>
            <w:r>
              <w:rPr>
                <w:rFonts w:eastAsia="仿宋"/>
                <w:kern w:val="0"/>
                <w:szCs w:val="21"/>
                <w:lang w:bidi="ar"/>
              </w:rPr>
              <w:t xml:space="preserve"> </w:t>
            </w:r>
            <w:r>
              <w:rPr>
                <w:rFonts w:eastAsia="仿宋"/>
                <w:kern w:val="0"/>
                <w:szCs w:val="21"/>
                <w:lang w:bidi="ar"/>
              </w:rPr>
              <w:t>소자</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2013-07-30</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11</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4" w:history="1">
              <w:r>
                <w:rPr>
                  <w:rStyle w:val="af5"/>
                  <w:rFonts w:eastAsia="仿宋"/>
                  <w:color w:val="auto"/>
                  <w:szCs w:val="21"/>
                  <w:u w:val="none"/>
                </w:rPr>
                <w:t>KR1020250072997A</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발광</w:t>
            </w:r>
            <w:r>
              <w:rPr>
                <w:rFonts w:eastAsia="仿宋"/>
                <w:kern w:val="0"/>
                <w:szCs w:val="21"/>
                <w:lang w:bidi="ar"/>
              </w:rPr>
              <w:t xml:space="preserve"> </w:t>
            </w:r>
            <w:r>
              <w:rPr>
                <w:rFonts w:eastAsia="仿宋"/>
                <w:kern w:val="0"/>
                <w:szCs w:val="21"/>
                <w:lang w:bidi="ar"/>
              </w:rPr>
              <w:t>표시</w:t>
            </w:r>
            <w:r>
              <w:rPr>
                <w:rFonts w:eastAsia="仿宋"/>
                <w:kern w:val="0"/>
                <w:szCs w:val="21"/>
                <w:lang w:bidi="ar"/>
              </w:rPr>
              <w:t xml:space="preserve"> </w:t>
            </w:r>
            <w:r>
              <w:rPr>
                <w:rFonts w:eastAsia="仿宋"/>
                <w:kern w:val="0"/>
                <w:szCs w:val="21"/>
                <w:lang w:bidi="ar"/>
              </w:rPr>
              <w:t>장치</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2023-11-16</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lastRenderedPageBreak/>
              <w:t>12</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5" w:history="1">
              <w:r>
                <w:rPr>
                  <w:rStyle w:val="af5"/>
                  <w:rFonts w:eastAsia="仿宋"/>
                  <w:color w:val="auto"/>
                  <w:szCs w:val="21"/>
                  <w:u w:val="none"/>
                </w:rPr>
                <w:t>IN311796B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Display panel, organic light emitting diode and method for manufacturing the same</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2016-02-08</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13</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6" w:history="1">
              <w:r>
                <w:rPr>
                  <w:rStyle w:val="af5"/>
                  <w:rFonts w:eastAsia="仿宋"/>
                  <w:color w:val="auto"/>
                  <w:szCs w:val="21"/>
                  <w:u w:val="none"/>
                </w:rPr>
                <w:t>US9674921B2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Method for operating an organic light-emitting component and lighting device for implementing the method</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2014-07-16</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14</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7" w:history="1">
              <w:r>
                <w:rPr>
                  <w:rStyle w:val="af5"/>
                  <w:rFonts w:eastAsia="仿宋"/>
                  <w:color w:val="auto"/>
                  <w:szCs w:val="21"/>
                  <w:u w:val="none"/>
                </w:rPr>
                <w:t>CN119504821A</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一种化合物、中间体和有机电致发光器件</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2023-08-14</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15</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8" w:history="1">
              <w:r>
                <w:rPr>
                  <w:rStyle w:val="af5"/>
                  <w:rFonts w:eastAsia="仿宋"/>
                  <w:color w:val="auto"/>
                  <w:szCs w:val="21"/>
                  <w:u w:val="none"/>
                </w:rPr>
                <w:t>CN103183710B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一种膦氧基氢蒽二</w:t>
            </w:r>
            <w:r>
              <w:rPr>
                <w:rFonts w:eastAsia="仿宋"/>
                <w:kern w:val="0"/>
                <w:szCs w:val="21"/>
                <w:lang w:bidi="ar"/>
              </w:rPr>
              <w:t>-</w:t>
            </w:r>
            <w:r>
              <w:rPr>
                <w:rFonts w:eastAsia="仿宋"/>
                <w:kern w:val="0"/>
                <w:szCs w:val="21"/>
                <w:lang w:bidi="ar"/>
              </w:rPr>
              <w:t>三芳胺类化合物及其应用</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2012-09-29</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16</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69" w:history="1">
              <w:r>
                <w:rPr>
                  <w:rStyle w:val="af5"/>
                  <w:rFonts w:eastAsia="仿宋"/>
                  <w:color w:val="auto"/>
                  <w:szCs w:val="21"/>
                  <w:u w:val="none"/>
                </w:rPr>
                <w:t>RU2626996C2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УСТРОЙСТВО НА ОРГАНИЧЕСКИХ СВЕТОДИОДАХ И ЕГО ИЗГОТОВЛЕНИЕ</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2013-01-30</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17</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0" w:history="1">
              <w:r>
                <w:rPr>
                  <w:rStyle w:val="af5"/>
                  <w:rFonts w:eastAsia="仿宋"/>
                  <w:color w:val="auto"/>
                  <w:szCs w:val="21"/>
                  <w:u w:val="none"/>
                </w:rPr>
                <w:t>CN118955547A</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一种硼氮化合物、具有该化合物的</w:t>
            </w:r>
            <w:r>
              <w:rPr>
                <w:rFonts w:eastAsia="仿宋"/>
                <w:kern w:val="0"/>
                <w:szCs w:val="21"/>
                <w:lang w:bidi="ar"/>
              </w:rPr>
              <w:t>OLED</w:t>
            </w:r>
            <w:r>
              <w:rPr>
                <w:rFonts w:eastAsia="仿宋"/>
                <w:kern w:val="0"/>
                <w:szCs w:val="21"/>
                <w:lang w:bidi="ar"/>
              </w:rPr>
              <w:t>和有机发光装置</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2024-10-15</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18</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1" w:history="1">
              <w:r>
                <w:rPr>
                  <w:rStyle w:val="af5"/>
                  <w:rFonts w:eastAsia="仿宋"/>
                  <w:color w:val="auto"/>
                  <w:szCs w:val="21"/>
                  <w:u w:val="none"/>
                </w:rPr>
                <w:t>KR100877876B1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신규한</w:t>
            </w:r>
            <w:r>
              <w:rPr>
                <w:rFonts w:eastAsia="仿宋"/>
                <w:kern w:val="0"/>
                <w:szCs w:val="21"/>
                <w:lang w:bidi="ar"/>
              </w:rPr>
              <w:t xml:space="preserve"> </w:t>
            </w:r>
            <w:r>
              <w:rPr>
                <w:rFonts w:eastAsia="仿宋"/>
                <w:kern w:val="0"/>
                <w:szCs w:val="21"/>
                <w:lang w:bidi="ar"/>
              </w:rPr>
              <w:t>디아민</w:t>
            </w:r>
            <w:r>
              <w:rPr>
                <w:rFonts w:eastAsia="仿宋"/>
                <w:kern w:val="0"/>
                <w:szCs w:val="21"/>
                <w:lang w:bidi="ar"/>
              </w:rPr>
              <w:t xml:space="preserve"> </w:t>
            </w:r>
            <w:r>
              <w:rPr>
                <w:rFonts w:eastAsia="仿宋"/>
                <w:kern w:val="0"/>
                <w:szCs w:val="21"/>
                <w:lang w:bidi="ar"/>
              </w:rPr>
              <w:t>유도체</w:t>
            </w:r>
            <w:r>
              <w:rPr>
                <w:rFonts w:eastAsia="仿宋"/>
                <w:kern w:val="0"/>
                <w:szCs w:val="21"/>
                <w:lang w:bidi="ar"/>
              </w:rPr>
              <w:t xml:space="preserve">, </w:t>
            </w:r>
            <w:r>
              <w:rPr>
                <w:rFonts w:eastAsia="仿宋"/>
                <w:kern w:val="0"/>
                <w:szCs w:val="21"/>
                <w:lang w:bidi="ar"/>
              </w:rPr>
              <w:t>이의</w:t>
            </w:r>
            <w:r>
              <w:rPr>
                <w:rFonts w:eastAsia="仿宋"/>
                <w:kern w:val="0"/>
                <w:szCs w:val="21"/>
                <w:lang w:bidi="ar"/>
              </w:rPr>
              <w:t xml:space="preserve"> </w:t>
            </w:r>
            <w:r>
              <w:rPr>
                <w:rFonts w:eastAsia="仿宋"/>
                <w:kern w:val="0"/>
                <w:szCs w:val="21"/>
                <w:lang w:bidi="ar"/>
              </w:rPr>
              <w:t>제조방법</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이를</w:t>
            </w:r>
            <w:r>
              <w:rPr>
                <w:rFonts w:eastAsia="仿宋"/>
                <w:kern w:val="0"/>
                <w:szCs w:val="21"/>
                <w:lang w:bidi="ar"/>
              </w:rPr>
              <w:t xml:space="preserve"> </w:t>
            </w:r>
            <w:r>
              <w:rPr>
                <w:rFonts w:eastAsia="仿宋"/>
                <w:kern w:val="0"/>
                <w:szCs w:val="21"/>
                <w:lang w:bidi="ar"/>
              </w:rPr>
              <w:t>이용한유기전자소자</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2007-03-23</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19</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2" w:history="1">
              <w:r>
                <w:rPr>
                  <w:rStyle w:val="af5"/>
                  <w:rFonts w:eastAsia="仿宋"/>
                  <w:color w:val="auto"/>
                  <w:szCs w:val="21"/>
                  <w:u w:val="none"/>
                </w:rPr>
                <w:t>CN105185741B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w:t>
            </w:r>
            <w:r>
              <w:rPr>
                <w:rFonts w:eastAsia="仿宋"/>
                <w:kern w:val="0"/>
                <w:szCs w:val="21"/>
                <w:lang w:bidi="ar"/>
              </w:rPr>
              <w:t>COMS</w:t>
            </w:r>
            <w:r>
              <w:rPr>
                <w:rFonts w:eastAsia="仿宋"/>
                <w:kern w:val="0"/>
                <w:szCs w:val="21"/>
                <w:lang w:bidi="ar"/>
              </w:rPr>
              <w:t>像素电路基板回收工艺</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2015-07-31</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20</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3" w:history="1">
              <w:r>
                <w:rPr>
                  <w:rStyle w:val="af5"/>
                  <w:rFonts w:eastAsia="仿宋"/>
                  <w:color w:val="auto"/>
                  <w:szCs w:val="21"/>
                  <w:u w:val="none"/>
                </w:rPr>
                <w:t>US10730368B1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System with windows</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2018-06-28</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21</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4" w:history="1">
              <w:r>
                <w:rPr>
                  <w:rStyle w:val="af5"/>
                  <w:rFonts w:eastAsia="仿宋"/>
                  <w:color w:val="auto"/>
                  <w:szCs w:val="21"/>
                  <w:u w:val="none"/>
                </w:rPr>
                <w:t>KR102577041B1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유기</w:t>
            </w:r>
            <w:r>
              <w:rPr>
                <w:rFonts w:eastAsia="仿宋"/>
                <w:kern w:val="0"/>
                <w:szCs w:val="21"/>
                <w:lang w:bidi="ar"/>
              </w:rPr>
              <w:t xml:space="preserve"> </w:t>
            </w:r>
            <w:r>
              <w:rPr>
                <w:rFonts w:eastAsia="仿宋"/>
                <w:kern w:val="0"/>
                <w:szCs w:val="21"/>
                <w:lang w:bidi="ar"/>
              </w:rPr>
              <w:t>화합물과</w:t>
            </w:r>
            <w:r>
              <w:rPr>
                <w:rFonts w:eastAsia="仿宋"/>
                <w:kern w:val="0"/>
                <w:szCs w:val="21"/>
                <w:lang w:bidi="ar"/>
              </w:rPr>
              <w:t xml:space="preserve"> </w:t>
            </w:r>
            <w:r>
              <w:rPr>
                <w:rFonts w:eastAsia="仿宋"/>
                <w:kern w:val="0"/>
                <w:szCs w:val="21"/>
                <w:lang w:bidi="ar"/>
              </w:rPr>
              <w:t>이를</w:t>
            </w:r>
            <w:r>
              <w:rPr>
                <w:rFonts w:eastAsia="仿宋"/>
                <w:kern w:val="0"/>
                <w:szCs w:val="21"/>
                <w:lang w:bidi="ar"/>
              </w:rPr>
              <w:t xml:space="preserve"> </w:t>
            </w:r>
            <w:r>
              <w:rPr>
                <w:rFonts w:eastAsia="仿宋"/>
                <w:kern w:val="0"/>
                <w:szCs w:val="21"/>
                <w:lang w:bidi="ar"/>
              </w:rPr>
              <w:t>포함하는</w:t>
            </w:r>
            <w:r>
              <w:rPr>
                <w:rFonts w:eastAsia="仿宋"/>
                <w:kern w:val="0"/>
                <w:szCs w:val="21"/>
                <w:lang w:bidi="ar"/>
              </w:rPr>
              <w:t xml:space="preserve"> </w:t>
            </w:r>
            <w:r>
              <w:rPr>
                <w:rFonts w:eastAsia="仿宋"/>
                <w:kern w:val="0"/>
                <w:szCs w:val="21"/>
                <w:lang w:bidi="ar"/>
              </w:rPr>
              <w:t>유기발광다이오드</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유기발광다이오드</w:t>
            </w:r>
            <w:r>
              <w:rPr>
                <w:rFonts w:eastAsia="仿宋"/>
                <w:kern w:val="0"/>
                <w:szCs w:val="21"/>
                <w:lang w:bidi="ar"/>
              </w:rPr>
              <w:t xml:space="preserve"> </w:t>
            </w:r>
            <w:r>
              <w:rPr>
                <w:rFonts w:eastAsia="仿宋"/>
                <w:kern w:val="0"/>
                <w:szCs w:val="21"/>
                <w:lang w:bidi="ar"/>
              </w:rPr>
              <w:t>표시장치</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2015-12-30</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22</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5" w:history="1">
              <w:r>
                <w:rPr>
                  <w:rStyle w:val="af5"/>
                  <w:rFonts w:eastAsia="仿宋"/>
                  <w:color w:val="auto"/>
                  <w:szCs w:val="21"/>
                  <w:u w:val="none"/>
                </w:rPr>
                <w:t>KR102322700B1</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유기전계</w:t>
            </w:r>
            <w:r>
              <w:rPr>
                <w:rFonts w:eastAsia="仿宋"/>
                <w:kern w:val="0"/>
                <w:szCs w:val="21"/>
                <w:lang w:bidi="ar"/>
              </w:rPr>
              <w:t xml:space="preserve"> </w:t>
            </w:r>
            <w:r>
              <w:rPr>
                <w:rFonts w:eastAsia="仿宋"/>
                <w:kern w:val="0"/>
                <w:szCs w:val="21"/>
                <w:lang w:bidi="ar"/>
              </w:rPr>
              <w:t>발광표시장치</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그</w:t>
            </w:r>
            <w:r>
              <w:rPr>
                <w:rFonts w:eastAsia="仿宋"/>
                <w:kern w:val="0"/>
                <w:szCs w:val="21"/>
                <w:lang w:bidi="ar"/>
              </w:rPr>
              <w:t xml:space="preserve"> </w:t>
            </w:r>
            <w:r>
              <w:rPr>
                <w:rFonts w:eastAsia="仿宋"/>
                <w:kern w:val="0"/>
                <w:szCs w:val="21"/>
                <w:lang w:bidi="ar"/>
              </w:rPr>
              <w:t>제조방법</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2014-05-23</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23</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6" w:history="1">
              <w:r>
                <w:rPr>
                  <w:rStyle w:val="af5"/>
                  <w:rFonts w:eastAsia="仿宋"/>
                  <w:color w:val="auto"/>
                  <w:szCs w:val="21"/>
                  <w:u w:val="none"/>
                </w:rPr>
                <w:t>CN106232772B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多组分主体材料以及包含其的有机电致发光装置</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2015-05-13</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24</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7" w:history="1">
              <w:r>
                <w:rPr>
                  <w:rStyle w:val="af5"/>
                  <w:rFonts w:eastAsia="仿宋"/>
                  <w:color w:val="auto"/>
                  <w:szCs w:val="21"/>
                  <w:u w:val="none"/>
                </w:rPr>
                <w:t>KR1020200013353A</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유기발광</w:t>
            </w:r>
            <w:r>
              <w:rPr>
                <w:rFonts w:eastAsia="仿宋"/>
                <w:kern w:val="0"/>
                <w:szCs w:val="21"/>
                <w:lang w:bidi="ar"/>
              </w:rPr>
              <w:t xml:space="preserve"> </w:t>
            </w:r>
            <w:r>
              <w:rPr>
                <w:rFonts w:eastAsia="仿宋"/>
                <w:kern w:val="0"/>
                <w:szCs w:val="21"/>
                <w:lang w:bidi="ar"/>
              </w:rPr>
              <w:t>표시장치와</w:t>
            </w:r>
            <w:r>
              <w:rPr>
                <w:rFonts w:eastAsia="仿宋"/>
                <w:kern w:val="0"/>
                <w:szCs w:val="21"/>
                <w:lang w:bidi="ar"/>
              </w:rPr>
              <w:t xml:space="preserve"> </w:t>
            </w:r>
            <w:r>
              <w:rPr>
                <w:rFonts w:eastAsia="仿宋"/>
                <w:kern w:val="0"/>
                <w:szCs w:val="21"/>
                <w:lang w:bidi="ar"/>
              </w:rPr>
              <w:t>그를</w:t>
            </w:r>
            <w:r>
              <w:rPr>
                <w:rFonts w:eastAsia="仿宋"/>
                <w:kern w:val="0"/>
                <w:szCs w:val="21"/>
                <w:lang w:bidi="ar"/>
              </w:rPr>
              <w:t xml:space="preserve"> </w:t>
            </w:r>
            <w:r>
              <w:rPr>
                <w:rFonts w:eastAsia="仿宋"/>
                <w:kern w:val="0"/>
                <w:szCs w:val="21"/>
                <w:lang w:bidi="ar"/>
              </w:rPr>
              <w:t>포함한</w:t>
            </w:r>
            <w:r>
              <w:rPr>
                <w:rFonts w:eastAsia="仿宋"/>
                <w:kern w:val="0"/>
                <w:szCs w:val="21"/>
                <w:lang w:bidi="ar"/>
              </w:rPr>
              <w:t xml:space="preserve"> </w:t>
            </w:r>
            <w:r>
              <w:rPr>
                <w:rFonts w:eastAsia="仿宋"/>
                <w:kern w:val="0"/>
                <w:szCs w:val="21"/>
                <w:lang w:bidi="ar"/>
              </w:rPr>
              <w:t>헤드</w:t>
            </w:r>
            <w:r>
              <w:rPr>
                <w:rFonts w:eastAsia="仿宋"/>
                <w:kern w:val="0"/>
                <w:szCs w:val="21"/>
                <w:lang w:bidi="ar"/>
              </w:rPr>
              <w:t xml:space="preserve"> </w:t>
            </w:r>
            <w:r>
              <w:rPr>
                <w:rFonts w:eastAsia="仿宋"/>
                <w:kern w:val="0"/>
                <w:szCs w:val="21"/>
                <w:lang w:bidi="ar"/>
              </w:rPr>
              <w:t>장착형</w:t>
            </w:r>
            <w:r>
              <w:rPr>
                <w:rFonts w:eastAsia="仿宋"/>
                <w:kern w:val="0"/>
                <w:szCs w:val="21"/>
                <w:lang w:bidi="ar"/>
              </w:rPr>
              <w:t xml:space="preserve"> </w:t>
            </w:r>
            <w:r>
              <w:rPr>
                <w:rFonts w:eastAsia="仿宋"/>
                <w:kern w:val="0"/>
                <w:szCs w:val="21"/>
                <w:lang w:bidi="ar"/>
              </w:rPr>
              <w:t>디스플레이</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그의</w:t>
            </w:r>
            <w:r>
              <w:rPr>
                <w:rFonts w:eastAsia="仿宋"/>
                <w:kern w:val="0"/>
                <w:szCs w:val="21"/>
                <w:lang w:bidi="ar"/>
              </w:rPr>
              <w:t xml:space="preserve"> </w:t>
            </w:r>
            <w:r>
              <w:rPr>
                <w:rFonts w:eastAsia="仿宋"/>
                <w:kern w:val="0"/>
                <w:szCs w:val="21"/>
                <w:lang w:bidi="ar"/>
              </w:rPr>
              <w:t>제조방법</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2018-07-30</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25</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8" w:history="1">
              <w:r>
                <w:rPr>
                  <w:rStyle w:val="af5"/>
                  <w:rFonts w:eastAsia="仿宋"/>
                  <w:color w:val="auto"/>
                  <w:szCs w:val="21"/>
                  <w:u w:val="none"/>
                </w:rPr>
                <w:t>US10529785B2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Optoelectronic component and method for operating an optoelectronic component</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2016-07-22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26</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79" w:history="1">
              <w:r>
                <w:rPr>
                  <w:rStyle w:val="af5"/>
                  <w:rFonts w:eastAsia="仿宋"/>
                  <w:color w:val="auto"/>
                  <w:szCs w:val="21"/>
                  <w:u w:val="none"/>
                </w:rPr>
                <w:t>US9419242B2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Organic white light emitting display apparatus</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2014-03-21</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27</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0" w:history="1">
              <w:r>
                <w:rPr>
                  <w:rStyle w:val="af5"/>
                  <w:rFonts w:eastAsia="仿宋"/>
                  <w:color w:val="auto"/>
                  <w:szCs w:val="21"/>
                  <w:u w:val="none"/>
                </w:rPr>
                <w:t>CN107275502B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有机发光显示面板和显示装置</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2017-06-29</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28</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1" w:history="1">
              <w:r>
                <w:rPr>
                  <w:rStyle w:val="af5"/>
                  <w:rFonts w:eastAsia="仿宋"/>
                  <w:color w:val="auto"/>
                  <w:szCs w:val="21"/>
                  <w:u w:val="none"/>
                </w:rPr>
                <w:t>US11489132B2</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Display panel including an organic electroluminescent device where an organic small molecule luminescent material is disposed in a main body made of mesoporous silica, method for manufacturing the same, and display device</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2018-12-12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lastRenderedPageBreak/>
              <w:t>29</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2" w:history="1">
              <w:r>
                <w:rPr>
                  <w:rStyle w:val="af5"/>
                  <w:rFonts w:eastAsia="仿宋"/>
                  <w:color w:val="auto"/>
                  <w:szCs w:val="21"/>
                  <w:u w:val="none"/>
                </w:rPr>
                <w:t>CN105243993B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OLED</w:t>
            </w:r>
            <w:r>
              <w:rPr>
                <w:rFonts w:eastAsia="仿宋"/>
                <w:kern w:val="0"/>
                <w:szCs w:val="21"/>
                <w:lang w:bidi="ar"/>
              </w:rPr>
              <w:t>显示基板及其驱动方法和</w:t>
            </w:r>
            <w:r>
              <w:rPr>
                <w:rFonts w:eastAsia="仿宋"/>
                <w:kern w:val="0"/>
                <w:szCs w:val="21"/>
                <w:lang w:bidi="ar"/>
              </w:rPr>
              <w:t>OLED</w:t>
            </w:r>
            <w:r>
              <w:rPr>
                <w:rFonts w:eastAsia="仿宋"/>
                <w:kern w:val="0"/>
                <w:szCs w:val="21"/>
                <w:lang w:bidi="ar"/>
              </w:rPr>
              <w:t>显示装置</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2015-09-22</w:t>
            </w:r>
          </w:p>
        </w:tc>
      </w:tr>
      <w:tr w:rsidR="00000000">
        <w:trPr>
          <w:jc w:val="center"/>
        </w:trPr>
        <w:tc>
          <w:tcPr>
            <w:tcW w:w="250"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30</w:t>
            </w:r>
          </w:p>
        </w:tc>
        <w:tc>
          <w:tcPr>
            <w:tcW w:w="1090"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3" w:history="1">
              <w:r>
                <w:rPr>
                  <w:rStyle w:val="af5"/>
                  <w:rFonts w:eastAsia="仿宋"/>
                  <w:color w:val="auto"/>
                  <w:szCs w:val="21"/>
                  <w:u w:val="none"/>
                </w:rPr>
                <w:t>TWI646710B</w:t>
              </w:r>
            </w:hyperlink>
          </w:p>
        </w:tc>
        <w:tc>
          <w:tcPr>
            <w:tcW w:w="291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具極短衰變時間之高效率有機發光裝置（ＯＬＥＤ）</w:t>
            </w:r>
          </w:p>
        </w:tc>
        <w:tc>
          <w:tcPr>
            <w:tcW w:w="74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2014-12-19</w:t>
            </w:r>
          </w:p>
        </w:tc>
      </w:tr>
    </w:tbl>
    <w:p w:rsidR="00000000" w:rsidRDefault="00000000">
      <w:pPr>
        <w:pStyle w:val="3"/>
        <w:spacing w:beforeLines="50" w:before="156" w:afterLines="50" w:after="156" w:line="440" w:lineRule="exact"/>
        <w:rPr>
          <w:rFonts w:eastAsia="楷体"/>
          <w:sz w:val="28"/>
        </w:rPr>
      </w:pPr>
      <w:bookmarkStart w:id="575" w:name="_Toc6578"/>
      <w:bookmarkStart w:id="576" w:name="_Toc1435"/>
      <w:bookmarkStart w:id="577" w:name="_Toc16435"/>
      <w:bookmarkStart w:id="578" w:name="_Toc15704"/>
      <w:bookmarkStart w:id="579" w:name="_Toc27256"/>
      <w:bookmarkStart w:id="580" w:name="_Toc20754"/>
      <w:bookmarkStart w:id="581" w:name="_Toc11429"/>
      <w:bookmarkStart w:id="582" w:name="_Toc133415961"/>
      <w:r>
        <w:rPr>
          <w:rFonts w:eastAsia="楷体"/>
          <w:sz w:val="28"/>
        </w:rPr>
        <w:t xml:space="preserve">5.3.2 </w:t>
      </w:r>
      <w:r>
        <w:rPr>
          <w:rFonts w:eastAsia="楷体"/>
          <w:sz w:val="28"/>
        </w:rPr>
        <w:t>失效专利运用</w:t>
      </w:r>
      <w:bookmarkEnd w:id="575"/>
      <w:bookmarkEnd w:id="576"/>
      <w:bookmarkEnd w:id="577"/>
      <w:bookmarkEnd w:id="578"/>
      <w:bookmarkEnd w:id="579"/>
      <w:bookmarkEnd w:id="580"/>
      <w:bookmarkEnd w:id="581"/>
      <w:bookmarkEnd w:id="582"/>
    </w:p>
    <w:p w:rsidR="00000000" w:rsidRDefault="00000000">
      <w:pPr>
        <w:widowControl/>
        <w:spacing w:line="440" w:lineRule="exact"/>
        <w:ind w:firstLineChars="200" w:firstLine="480"/>
        <w:jc w:val="left"/>
      </w:pPr>
      <w:r>
        <w:rPr>
          <w:rFonts w:eastAsia="仿宋"/>
          <w:sz w:val="24"/>
        </w:rPr>
        <w:t>表</w:t>
      </w:r>
      <w:r>
        <w:rPr>
          <w:rFonts w:eastAsia="仿宋"/>
          <w:sz w:val="24"/>
        </w:rPr>
        <w:t>5-3-2</w:t>
      </w:r>
      <w:r>
        <w:rPr>
          <w:rFonts w:eastAsia="仿宋"/>
          <w:sz w:val="24"/>
        </w:rPr>
        <w:t>列出了全球重点企业的重要的过期专利以方便吉林省企业合理运用。筛选方法为</w:t>
      </w:r>
      <w:r>
        <w:rPr>
          <w:rFonts w:eastAsia="仿宋"/>
          <w:sz w:val="24"/>
        </w:rPr>
        <w:t>OLED</w:t>
      </w:r>
      <w:r>
        <w:rPr>
          <w:rFonts w:eastAsia="仿宋"/>
          <w:sz w:val="24"/>
        </w:rPr>
        <w:t>发光材料领域，筛选专利价值</w:t>
      </w:r>
      <w:r>
        <w:rPr>
          <w:rFonts w:eastAsia="仿宋"/>
          <w:sz w:val="24"/>
        </w:rPr>
        <w:t>100</w:t>
      </w:r>
      <w:r>
        <w:rPr>
          <w:rFonts w:eastAsia="仿宋"/>
          <w:sz w:val="24"/>
        </w:rPr>
        <w:t>万以上且被引用次数和同族数量多的全球专利，可作为吉林省产业重点参考的失效专利。但值得注意的是，失效专利虽然可以作为开放技术得以使用，但在多数情况下，重要的失效专利往往伴随着与其他专利的依存关系，还应综合分析评估后再合理运用。</w:t>
      </w:r>
    </w:p>
    <w:p w:rsidR="00000000" w:rsidRDefault="00000000">
      <w:pPr>
        <w:pStyle w:val="zy"/>
        <w:spacing w:beforeLines="0" w:before="0" w:afterLines="0" w:after="0"/>
        <w:rPr>
          <w:rFonts w:eastAsia="仿宋"/>
          <w:b w:val="0"/>
          <w:color w:val="auto"/>
        </w:rPr>
      </w:pPr>
      <w:r>
        <w:rPr>
          <w:rFonts w:eastAsia="仿宋"/>
          <w:b w:val="0"/>
          <w:color w:val="auto"/>
        </w:rPr>
        <w:t>表</w:t>
      </w:r>
      <w:r>
        <w:rPr>
          <w:rFonts w:eastAsia="仿宋" w:hint="eastAsia"/>
          <w:b w:val="0"/>
          <w:color w:val="auto"/>
        </w:rPr>
        <w:t>5</w:t>
      </w:r>
      <w:r>
        <w:rPr>
          <w:rFonts w:eastAsia="仿宋"/>
          <w:b w:val="0"/>
          <w:color w:val="auto"/>
        </w:rPr>
        <w:t>-3-</w:t>
      </w:r>
      <w:r>
        <w:rPr>
          <w:rFonts w:eastAsia="仿宋" w:hint="eastAsia"/>
          <w:b w:val="0"/>
          <w:color w:val="auto"/>
        </w:rPr>
        <w:t>2 OLED</w:t>
      </w:r>
      <w:r>
        <w:rPr>
          <w:rFonts w:eastAsia="仿宋" w:hint="eastAsia"/>
          <w:b w:val="0"/>
          <w:color w:val="auto"/>
        </w:rPr>
        <w:t>发光材料领域</w:t>
      </w:r>
      <w:r>
        <w:rPr>
          <w:rFonts w:eastAsia="仿宋"/>
          <w:b w:val="0"/>
          <w:color w:val="auto"/>
        </w:rPr>
        <w:t>全球重点创新主体失效专利列表</w:t>
      </w:r>
    </w:p>
    <w:tbl>
      <w:tblPr>
        <w:tblW w:w="5000" w:type="pct"/>
        <w:jc w:val="center"/>
        <w:tblInd w:w="0" w:type="dxa"/>
        <w:tblLook w:val="0000" w:firstRow="0" w:lastRow="0" w:firstColumn="0" w:lastColumn="0" w:noHBand="0" w:noVBand="0"/>
      </w:tblPr>
      <w:tblGrid>
        <w:gridCol w:w="565"/>
        <w:gridCol w:w="2200"/>
        <w:gridCol w:w="4912"/>
        <w:gridCol w:w="1385"/>
      </w:tblGrid>
      <w:tr w:rsidR="00000000">
        <w:trPr>
          <w:jc w:val="center"/>
        </w:trPr>
        <w:tc>
          <w:tcPr>
            <w:tcW w:w="312"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pStyle w:val="sy"/>
              <w:jc w:val="center"/>
              <w:rPr>
                <w:rFonts w:ascii="Times New Roman" w:hAnsi="Times New Roman"/>
                <w:lang w:eastAsia="en-US"/>
              </w:rPr>
            </w:pPr>
            <w:r>
              <w:rPr>
                <w:rFonts w:ascii="Times New Roman" w:hAnsi="Times New Roman"/>
                <w:lang w:eastAsia="en-US"/>
              </w:rPr>
              <w:t>序号</w:t>
            </w:r>
          </w:p>
        </w:tc>
        <w:tc>
          <w:tcPr>
            <w:tcW w:w="1213"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widowControl/>
              <w:jc w:val="center"/>
              <w:textAlignment w:val="center"/>
              <w:rPr>
                <w:rFonts w:eastAsia="仿宋"/>
                <w:szCs w:val="21"/>
                <w:lang w:eastAsia="en-US"/>
              </w:rPr>
            </w:pPr>
            <w:r>
              <w:rPr>
                <w:rFonts w:eastAsia="仿宋"/>
                <w:kern w:val="0"/>
                <w:szCs w:val="21"/>
                <w:lang w:bidi="ar"/>
              </w:rPr>
              <w:t>公开</w:t>
            </w:r>
            <w:r>
              <w:rPr>
                <w:rFonts w:eastAsia="仿宋"/>
                <w:kern w:val="0"/>
                <w:szCs w:val="21"/>
                <w:lang w:bidi="ar"/>
              </w:rPr>
              <w:t>(</w:t>
            </w:r>
            <w:r>
              <w:rPr>
                <w:rFonts w:eastAsia="仿宋"/>
                <w:kern w:val="0"/>
                <w:szCs w:val="21"/>
                <w:lang w:bidi="ar"/>
              </w:rPr>
              <w:t>公告</w:t>
            </w:r>
            <w:r>
              <w:rPr>
                <w:rFonts w:eastAsia="仿宋"/>
                <w:kern w:val="0"/>
                <w:szCs w:val="21"/>
                <w:lang w:bidi="ar"/>
              </w:rPr>
              <w:t>)</w:t>
            </w:r>
            <w:r>
              <w:rPr>
                <w:rFonts w:eastAsia="仿宋"/>
                <w:kern w:val="0"/>
                <w:szCs w:val="21"/>
                <w:lang w:bidi="ar"/>
              </w:rPr>
              <w:t>号</w:t>
            </w:r>
          </w:p>
        </w:tc>
        <w:tc>
          <w:tcPr>
            <w:tcW w:w="2708"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widowControl/>
              <w:jc w:val="center"/>
              <w:textAlignment w:val="center"/>
              <w:rPr>
                <w:rFonts w:eastAsia="仿宋"/>
                <w:szCs w:val="21"/>
                <w:lang w:eastAsia="en-US"/>
              </w:rPr>
            </w:pPr>
            <w:r>
              <w:rPr>
                <w:rFonts w:eastAsia="仿宋"/>
                <w:kern w:val="0"/>
                <w:szCs w:val="21"/>
                <w:lang w:bidi="ar"/>
              </w:rPr>
              <w:t>标题</w:t>
            </w:r>
          </w:p>
        </w:tc>
        <w:tc>
          <w:tcPr>
            <w:tcW w:w="764" w:type="pct"/>
            <w:tcBorders>
              <w:top w:val="single" w:sz="4" w:space="0" w:color="000000"/>
              <w:left w:val="single" w:sz="4" w:space="0" w:color="000000"/>
              <w:bottom w:val="nil"/>
              <w:right w:val="single" w:sz="4" w:space="0" w:color="000000"/>
            </w:tcBorders>
            <w:shd w:val="clear" w:color="auto" w:fill="99CC00"/>
            <w:vAlign w:val="center"/>
          </w:tcPr>
          <w:p w:rsidR="00000000" w:rsidRDefault="00000000">
            <w:pPr>
              <w:widowControl/>
              <w:jc w:val="center"/>
              <w:textAlignment w:val="center"/>
              <w:rPr>
                <w:rFonts w:eastAsia="仿宋"/>
                <w:szCs w:val="21"/>
                <w:lang w:eastAsia="en-US" w:bidi="ar"/>
              </w:rPr>
            </w:pPr>
            <w:r>
              <w:rPr>
                <w:rFonts w:eastAsia="仿宋"/>
                <w:kern w:val="0"/>
                <w:szCs w:val="21"/>
                <w:lang w:bidi="ar"/>
              </w:rPr>
              <w:t>申请日</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4" w:history="1">
              <w:r>
                <w:rPr>
                  <w:rStyle w:val="af5"/>
                  <w:rFonts w:eastAsia="仿宋"/>
                  <w:color w:val="auto"/>
                  <w:szCs w:val="21"/>
                  <w:u w:val="none"/>
                </w:rPr>
                <w:t>US7462405B2</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Organic element for electroluminescent devices</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2004-10-27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5" w:history="1">
              <w:r>
                <w:rPr>
                  <w:rStyle w:val="af5"/>
                  <w:rFonts w:eastAsia="仿宋"/>
                  <w:color w:val="auto"/>
                  <w:szCs w:val="21"/>
                  <w:u w:val="none"/>
                </w:rPr>
                <w:t>CN110070814B</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OLED</w:t>
            </w:r>
            <w:r>
              <w:rPr>
                <w:rFonts w:eastAsia="仿宋"/>
                <w:kern w:val="0"/>
                <w:szCs w:val="21"/>
                <w:lang w:bidi="ar"/>
              </w:rPr>
              <w:t>显示面板及其光衰减检测方法、显示装置</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2019-05-31</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3</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6" w:history="1">
              <w:r>
                <w:rPr>
                  <w:rStyle w:val="af5"/>
                  <w:rFonts w:eastAsia="仿宋"/>
                  <w:color w:val="auto"/>
                  <w:szCs w:val="21"/>
                  <w:u w:val="none"/>
                </w:rPr>
                <w:t>CN112201678A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高色彩饱和度硅基</w:t>
            </w:r>
            <w:r>
              <w:rPr>
                <w:rFonts w:eastAsia="仿宋"/>
                <w:kern w:val="0"/>
                <w:szCs w:val="21"/>
                <w:lang w:bidi="ar"/>
              </w:rPr>
              <w:t>OLED</w:t>
            </w:r>
            <w:r>
              <w:rPr>
                <w:rFonts w:eastAsia="仿宋"/>
                <w:kern w:val="0"/>
                <w:szCs w:val="21"/>
                <w:lang w:bidi="ar"/>
              </w:rPr>
              <w:t>微型显示器及其制备方法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2020-09-30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4</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7" w:history="1">
              <w:r>
                <w:rPr>
                  <w:rStyle w:val="af5"/>
                  <w:rFonts w:eastAsia="仿宋"/>
                  <w:color w:val="auto"/>
                  <w:szCs w:val="21"/>
                  <w:u w:val="none"/>
                </w:rPr>
                <w:t>US20230242556A1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Novel method for manufacturing deuterated boron compound</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2023-01-17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5</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8" w:history="1">
              <w:r>
                <w:rPr>
                  <w:rStyle w:val="af5"/>
                  <w:rFonts w:eastAsia="仿宋"/>
                  <w:color w:val="auto"/>
                  <w:szCs w:val="21"/>
                  <w:u w:val="none"/>
                </w:rPr>
                <w:t>CN112466917A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一种硅基</w:t>
            </w:r>
            <w:r>
              <w:rPr>
                <w:rFonts w:eastAsia="仿宋"/>
                <w:kern w:val="0"/>
                <w:szCs w:val="21"/>
                <w:lang w:bidi="ar"/>
              </w:rPr>
              <w:t>OLED</w:t>
            </w:r>
            <w:r>
              <w:rPr>
                <w:rFonts w:eastAsia="仿宋"/>
                <w:kern w:val="0"/>
                <w:szCs w:val="21"/>
                <w:lang w:bidi="ar"/>
              </w:rPr>
              <w:t>器件的结构</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2020-11-20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6</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89" w:history="1">
              <w:r>
                <w:rPr>
                  <w:rStyle w:val="af5"/>
                  <w:rFonts w:eastAsia="仿宋"/>
                  <w:color w:val="auto"/>
                  <w:szCs w:val="21"/>
                  <w:u w:val="none"/>
                </w:rPr>
                <w:t>CN101916831B</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一种全印刷方法制备有机电致发光显示屏的方法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2010-06-30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7</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0" w:history="1">
              <w:r>
                <w:rPr>
                  <w:rStyle w:val="af5"/>
                  <w:rFonts w:eastAsia="仿宋"/>
                  <w:color w:val="auto"/>
                  <w:szCs w:val="21"/>
                  <w:u w:val="none"/>
                </w:rPr>
                <w:t>CN113013206A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有机发光显示装置</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2015-12-30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8</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1" w:history="1">
              <w:r>
                <w:rPr>
                  <w:rStyle w:val="af5"/>
                  <w:rFonts w:eastAsia="仿宋"/>
                  <w:color w:val="auto"/>
                  <w:szCs w:val="21"/>
                  <w:u w:val="none"/>
                </w:rPr>
                <w:t>CN100421278C</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有机发光二极管的发光层及应用其的有机发光二极管显示面板</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2005-06-02</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9</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2" w:history="1">
              <w:r>
                <w:rPr>
                  <w:rStyle w:val="af5"/>
                  <w:rFonts w:eastAsia="仿宋"/>
                  <w:color w:val="auto"/>
                  <w:szCs w:val="21"/>
                  <w:u w:val="none"/>
                </w:rPr>
                <w:t>KR102009057B1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도펀트를</w:t>
            </w:r>
            <w:r>
              <w:rPr>
                <w:rFonts w:eastAsia="仿宋"/>
                <w:kern w:val="0"/>
                <w:szCs w:val="21"/>
                <w:lang w:bidi="ar"/>
              </w:rPr>
              <w:t xml:space="preserve"> </w:t>
            </w:r>
            <w:r>
              <w:rPr>
                <w:rFonts w:eastAsia="仿宋"/>
                <w:kern w:val="0"/>
                <w:szCs w:val="21"/>
                <w:lang w:bidi="ar"/>
              </w:rPr>
              <w:t>사용한</w:t>
            </w:r>
            <w:r>
              <w:rPr>
                <w:rFonts w:eastAsia="仿宋"/>
                <w:kern w:val="0"/>
                <w:szCs w:val="21"/>
                <w:lang w:bidi="ar"/>
              </w:rPr>
              <w:t xml:space="preserve"> </w:t>
            </w:r>
            <w:r>
              <w:rPr>
                <w:rFonts w:eastAsia="仿宋"/>
                <w:kern w:val="0"/>
                <w:szCs w:val="21"/>
                <w:lang w:bidi="ar"/>
              </w:rPr>
              <w:t>유기</w:t>
            </w:r>
            <w:r>
              <w:rPr>
                <w:rFonts w:eastAsia="仿宋"/>
                <w:kern w:val="0"/>
                <w:szCs w:val="21"/>
                <w:lang w:bidi="ar"/>
              </w:rPr>
              <w:t xml:space="preserve"> </w:t>
            </w:r>
            <w:r>
              <w:rPr>
                <w:rFonts w:eastAsia="仿宋"/>
                <w:kern w:val="0"/>
                <w:szCs w:val="21"/>
                <w:lang w:bidi="ar"/>
              </w:rPr>
              <w:t>전자</w:t>
            </w:r>
            <w:r>
              <w:rPr>
                <w:rFonts w:eastAsia="仿宋"/>
                <w:kern w:val="0"/>
                <w:szCs w:val="21"/>
                <w:lang w:bidi="ar"/>
              </w:rPr>
              <w:t xml:space="preserve"> </w:t>
            </w:r>
            <w:r>
              <w:rPr>
                <w:rFonts w:eastAsia="仿宋"/>
                <w:kern w:val="0"/>
                <w:szCs w:val="21"/>
                <w:lang w:bidi="ar"/>
              </w:rPr>
              <w:t>부품</w:t>
            </w:r>
            <w:r>
              <w:rPr>
                <w:rFonts w:eastAsia="仿宋"/>
                <w:kern w:val="0"/>
                <w:szCs w:val="21"/>
                <w:lang w:bidi="ar"/>
              </w:rPr>
              <w:t xml:space="preserve">, </w:t>
            </w:r>
            <w:r>
              <w:rPr>
                <w:rFonts w:eastAsia="仿宋"/>
                <w:kern w:val="0"/>
                <w:szCs w:val="21"/>
                <w:lang w:bidi="ar"/>
              </w:rPr>
              <w:t>도펀트의</w:t>
            </w:r>
            <w:r>
              <w:rPr>
                <w:rFonts w:eastAsia="仿宋"/>
                <w:kern w:val="0"/>
                <w:szCs w:val="21"/>
                <w:lang w:bidi="ar"/>
              </w:rPr>
              <w:t xml:space="preserve"> </w:t>
            </w:r>
            <w:r>
              <w:rPr>
                <w:rFonts w:eastAsia="仿宋"/>
                <w:kern w:val="0"/>
                <w:szCs w:val="21"/>
                <w:lang w:bidi="ar"/>
              </w:rPr>
              <w:t>용도</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상기</w:t>
            </w:r>
            <w:r>
              <w:rPr>
                <w:rFonts w:eastAsia="仿宋"/>
                <w:kern w:val="0"/>
                <w:szCs w:val="21"/>
                <w:lang w:bidi="ar"/>
              </w:rPr>
              <w:t xml:space="preserve"> </w:t>
            </w:r>
            <w:r>
              <w:rPr>
                <w:rFonts w:eastAsia="仿宋"/>
                <w:kern w:val="0"/>
                <w:szCs w:val="21"/>
                <w:lang w:bidi="ar"/>
              </w:rPr>
              <w:t>도펀트의</w:t>
            </w:r>
            <w:r>
              <w:rPr>
                <w:rFonts w:eastAsia="仿宋"/>
                <w:kern w:val="0"/>
                <w:szCs w:val="21"/>
                <w:lang w:bidi="ar"/>
              </w:rPr>
              <w:t xml:space="preserve"> </w:t>
            </w:r>
            <w:r>
              <w:rPr>
                <w:rFonts w:eastAsia="仿宋"/>
                <w:kern w:val="0"/>
                <w:szCs w:val="21"/>
                <w:lang w:bidi="ar"/>
              </w:rPr>
              <w:t>제조</w:t>
            </w:r>
            <w:r>
              <w:rPr>
                <w:rFonts w:eastAsia="仿宋"/>
                <w:kern w:val="0"/>
                <w:szCs w:val="21"/>
                <w:lang w:bidi="ar"/>
              </w:rPr>
              <w:t xml:space="preserve"> </w:t>
            </w:r>
            <w:r>
              <w:rPr>
                <w:rFonts w:eastAsia="仿宋"/>
                <w:kern w:val="0"/>
                <w:szCs w:val="21"/>
                <w:lang w:bidi="ar"/>
              </w:rPr>
              <w:t>방법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2012-10-17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10</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3" w:history="1">
              <w:r>
                <w:rPr>
                  <w:rStyle w:val="af5"/>
                  <w:rFonts w:eastAsia="仿宋"/>
                  <w:color w:val="auto"/>
                  <w:szCs w:val="21"/>
                  <w:u w:val="none"/>
                </w:rPr>
                <w:t>CN100472795C</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有机发光显示器装置及其制造方法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2005-06-16</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11</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4" w:history="1">
              <w:r>
                <w:rPr>
                  <w:rStyle w:val="af5"/>
                  <w:rFonts w:eastAsia="仿宋"/>
                  <w:color w:val="auto"/>
                  <w:szCs w:val="21"/>
                  <w:u w:val="none"/>
                </w:rPr>
                <w:t>US20210391548A1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Organic light-emitting device</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2021-07-21</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12</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5" w:history="1">
              <w:r>
                <w:rPr>
                  <w:rStyle w:val="af5"/>
                  <w:rFonts w:eastAsia="仿宋"/>
                  <w:color w:val="auto"/>
                  <w:szCs w:val="21"/>
                  <w:u w:val="none"/>
                </w:rPr>
                <w:t>KR1020220034282A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표시</w:t>
            </w:r>
            <w:r>
              <w:rPr>
                <w:rFonts w:eastAsia="仿宋"/>
                <w:kern w:val="0"/>
                <w:szCs w:val="21"/>
                <w:lang w:bidi="ar"/>
              </w:rPr>
              <w:t xml:space="preserve"> </w:t>
            </w:r>
            <w:r>
              <w:rPr>
                <w:rFonts w:eastAsia="仿宋"/>
                <w:kern w:val="0"/>
                <w:szCs w:val="21"/>
                <w:lang w:bidi="ar"/>
              </w:rPr>
              <w:t>장치</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2020-09-10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13</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6" w:history="1">
              <w:r>
                <w:rPr>
                  <w:rStyle w:val="af5"/>
                  <w:rFonts w:eastAsia="仿宋"/>
                  <w:color w:val="auto"/>
                  <w:szCs w:val="21"/>
                  <w:u w:val="none"/>
                </w:rPr>
                <w:t>CN107887519A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化合物及用途、有机发光器件及其制备方法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2017-10-12</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14</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7" w:history="1">
              <w:r>
                <w:rPr>
                  <w:rStyle w:val="af5"/>
                  <w:rFonts w:eastAsia="仿宋"/>
                  <w:color w:val="auto"/>
                  <w:szCs w:val="21"/>
                  <w:u w:val="none"/>
                </w:rPr>
                <w:t>CN114864837A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显示面板及其制作方法、移动终端</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2022-05-07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lastRenderedPageBreak/>
              <w:t>15</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8" w:history="1">
              <w:r>
                <w:rPr>
                  <w:rStyle w:val="af5"/>
                  <w:rFonts w:eastAsia="仿宋"/>
                  <w:color w:val="auto"/>
                  <w:szCs w:val="21"/>
                  <w:u w:val="none"/>
                </w:rPr>
                <w:t>EP1797158B1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Phenanthrene derivatives</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2005-09-20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16</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99" w:history="1">
              <w:r>
                <w:rPr>
                  <w:rStyle w:val="af5"/>
                  <w:rFonts w:eastAsia="仿宋"/>
                  <w:color w:val="auto"/>
                  <w:szCs w:val="21"/>
                  <w:u w:val="none"/>
                </w:rPr>
                <w:t>CN111987235A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非接触式薄膜水氧透过性能测试装置及其生产工艺</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2020-07-10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17</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0" w:history="1">
              <w:r>
                <w:rPr>
                  <w:rStyle w:val="af5"/>
                  <w:rFonts w:eastAsia="仿宋"/>
                  <w:color w:val="auto"/>
                  <w:szCs w:val="21"/>
                  <w:u w:val="none"/>
                </w:rPr>
                <w:t>KR1020220010363A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발광</w:t>
            </w:r>
            <w:r>
              <w:rPr>
                <w:rFonts w:eastAsia="仿宋"/>
                <w:kern w:val="0"/>
                <w:szCs w:val="21"/>
                <w:lang w:bidi="ar"/>
              </w:rPr>
              <w:t xml:space="preserve"> </w:t>
            </w:r>
            <w:r>
              <w:rPr>
                <w:rFonts w:eastAsia="仿宋"/>
                <w:kern w:val="0"/>
                <w:szCs w:val="21"/>
                <w:lang w:bidi="ar"/>
              </w:rPr>
              <w:t>소자</w:t>
            </w:r>
            <w:r>
              <w:rPr>
                <w:rFonts w:eastAsia="仿宋"/>
                <w:kern w:val="0"/>
                <w:szCs w:val="21"/>
                <w:lang w:bidi="ar"/>
              </w:rPr>
              <w:t xml:space="preserve"> </w:t>
            </w:r>
            <w:r>
              <w:rPr>
                <w:rFonts w:eastAsia="仿宋"/>
                <w:kern w:val="0"/>
                <w:szCs w:val="21"/>
                <w:lang w:bidi="ar"/>
              </w:rPr>
              <w:t>및</w:t>
            </w:r>
            <w:r>
              <w:rPr>
                <w:rFonts w:eastAsia="仿宋"/>
                <w:kern w:val="0"/>
                <w:szCs w:val="21"/>
                <w:lang w:bidi="ar"/>
              </w:rPr>
              <w:t xml:space="preserve"> </w:t>
            </w:r>
            <w:r>
              <w:rPr>
                <w:rFonts w:eastAsia="仿宋"/>
                <w:kern w:val="0"/>
                <w:szCs w:val="21"/>
                <w:lang w:bidi="ar"/>
              </w:rPr>
              <w:t>이를</w:t>
            </w:r>
            <w:r>
              <w:rPr>
                <w:rFonts w:eastAsia="仿宋"/>
                <w:kern w:val="0"/>
                <w:szCs w:val="21"/>
                <w:lang w:bidi="ar"/>
              </w:rPr>
              <w:t xml:space="preserve"> </w:t>
            </w:r>
            <w:r>
              <w:rPr>
                <w:rFonts w:eastAsia="仿宋"/>
                <w:kern w:val="0"/>
                <w:szCs w:val="21"/>
                <w:lang w:bidi="ar"/>
              </w:rPr>
              <w:t>포함하는</w:t>
            </w:r>
            <w:r>
              <w:rPr>
                <w:rFonts w:eastAsia="仿宋"/>
                <w:kern w:val="0"/>
                <w:szCs w:val="21"/>
                <w:lang w:bidi="ar"/>
              </w:rPr>
              <w:t xml:space="preserve"> </w:t>
            </w:r>
            <w:r>
              <w:rPr>
                <w:rFonts w:eastAsia="仿宋"/>
                <w:kern w:val="0"/>
                <w:szCs w:val="21"/>
                <w:lang w:bidi="ar"/>
              </w:rPr>
              <w:t>디스플레이</w:t>
            </w:r>
            <w:r>
              <w:rPr>
                <w:rFonts w:eastAsia="仿宋"/>
                <w:kern w:val="0"/>
                <w:szCs w:val="21"/>
                <w:lang w:bidi="ar"/>
              </w:rPr>
              <w:t xml:space="preserve"> </w:t>
            </w:r>
            <w:r>
              <w:rPr>
                <w:rFonts w:eastAsia="仿宋"/>
                <w:kern w:val="0"/>
                <w:szCs w:val="21"/>
                <w:lang w:bidi="ar"/>
              </w:rPr>
              <w:t>장치</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2020-07-17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18</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1" w:history="1">
              <w:r>
                <w:rPr>
                  <w:rStyle w:val="af5"/>
                  <w:rFonts w:eastAsia="仿宋"/>
                  <w:color w:val="auto"/>
                  <w:szCs w:val="21"/>
                  <w:u w:val="none"/>
                </w:rPr>
                <w:t>KR100730132B1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유기</w:t>
            </w:r>
            <w:r>
              <w:rPr>
                <w:rFonts w:eastAsia="仿宋"/>
                <w:kern w:val="0"/>
                <w:szCs w:val="21"/>
                <w:lang w:bidi="ar"/>
              </w:rPr>
              <w:t xml:space="preserve"> </w:t>
            </w:r>
            <w:r>
              <w:rPr>
                <w:rFonts w:eastAsia="仿宋"/>
                <w:kern w:val="0"/>
                <w:szCs w:val="21"/>
                <w:lang w:bidi="ar"/>
              </w:rPr>
              <w:t>발광</w:t>
            </w:r>
            <w:r>
              <w:rPr>
                <w:rFonts w:eastAsia="仿宋"/>
                <w:kern w:val="0"/>
                <w:szCs w:val="21"/>
                <w:lang w:bidi="ar"/>
              </w:rPr>
              <w:t xml:space="preserve"> </w:t>
            </w:r>
            <w:r>
              <w:rPr>
                <w:rFonts w:eastAsia="仿宋"/>
                <w:kern w:val="0"/>
                <w:szCs w:val="21"/>
                <w:lang w:bidi="ar"/>
              </w:rPr>
              <w:t>표시</w:t>
            </w:r>
            <w:r>
              <w:rPr>
                <w:rFonts w:eastAsia="仿宋"/>
                <w:kern w:val="0"/>
                <w:szCs w:val="21"/>
                <w:lang w:bidi="ar"/>
              </w:rPr>
              <w:t xml:space="preserve"> </w:t>
            </w:r>
            <w:r>
              <w:rPr>
                <w:rFonts w:eastAsia="仿宋"/>
                <w:kern w:val="0"/>
                <w:szCs w:val="21"/>
                <w:lang w:bidi="ar"/>
              </w:rPr>
              <w:t>소자</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2005-05-30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19</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2" w:history="1">
              <w:r>
                <w:rPr>
                  <w:rStyle w:val="af5"/>
                  <w:rFonts w:eastAsia="仿宋"/>
                  <w:color w:val="auto"/>
                  <w:szCs w:val="21"/>
                  <w:u w:val="none"/>
                </w:rPr>
                <w:t>EP1756886B1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Organic light-emitting diode comprising a doped organic layer</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2005-05-31</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20</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3" w:history="1">
              <w:r>
                <w:rPr>
                  <w:rStyle w:val="af5"/>
                  <w:rFonts w:eastAsia="仿宋"/>
                  <w:color w:val="auto"/>
                  <w:szCs w:val="21"/>
                  <w:u w:val="none"/>
                </w:rPr>
                <w:t>CN113285049B</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一种超声喷涂制备三氧化钨高光提取效率</w:t>
            </w:r>
            <w:r>
              <w:rPr>
                <w:rFonts w:eastAsia="仿宋"/>
                <w:kern w:val="0"/>
                <w:szCs w:val="21"/>
                <w:lang w:bidi="ar"/>
              </w:rPr>
              <w:t>OLED</w:t>
            </w:r>
            <w:r>
              <w:rPr>
                <w:rFonts w:eastAsia="仿宋"/>
                <w:kern w:val="0"/>
                <w:szCs w:val="21"/>
                <w:lang w:bidi="ar"/>
              </w:rPr>
              <w:t>外光提取层的方法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2021-05-27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21</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4" w:history="1">
              <w:r>
                <w:rPr>
                  <w:rStyle w:val="af5"/>
                  <w:rFonts w:eastAsia="仿宋"/>
                  <w:color w:val="auto"/>
                  <w:szCs w:val="21"/>
                  <w:u w:val="none"/>
                </w:rPr>
                <w:t>KR1020220088301A</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발광</w:t>
            </w:r>
            <w:r>
              <w:rPr>
                <w:rFonts w:eastAsia="仿宋"/>
                <w:kern w:val="0"/>
                <w:szCs w:val="21"/>
                <w:lang w:bidi="ar"/>
              </w:rPr>
              <w:t xml:space="preserve"> </w:t>
            </w:r>
            <w:r>
              <w:rPr>
                <w:rFonts w:eastAsia="仿宋"/>
                <w:kern w:val="0"/>
                <w:szCs w:val="21"/>
                <w:lang w:bidi="ar"/>
              </w:rPr>
              <w:t>표시</w:t>
            </w:r>
            <w:r>
              <w:rPr>
                <w:rFonts w:eastAsia="仿宋"/>
                <w:kern w:val="0"/>
                <w:szCs w:val="21"/>
                <w:lang w:bidi="ar"/>
              </w:rPr>
              <w:t xml:space="preserve"> </w:t>
            </w:r>
            <w:r>
              <w:rPr>
                <w:rFonts w:eastAsia="仿宋"/>
                <w:kern w:val="0"/>
                <w:szCs w:val="21"/>
                <w:lang w:bidi="ar"/>
              </w:rPr>
              <w:t>장치</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2021-11-16</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22</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5" w:history="1">
              <w:r>
                <w:rPr>
                  <w:rStyle w:val="af5"/>
                  <w:rFonts w:eastAsia="仿宋"/>
                  <w:color w:val="auto"/>
                  <w:szCs w:val="21"/>
                  <w:u w:val="none"/>
                </w:rPr>
                <w:t>US8609181B2</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Light emitting device and method for fabricating light emitting device</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2009-07-23</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23</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6" w:history="1">
              <w:r>
                <w:rPr>
                  <w:rStyle w:val="af5"/>
                  <w:rFonts w:eastAsia="仿宋"/>
                  <w:color w:val="auto"/>
                  <w:szCs w:val="21"/>
                  <w:u w:val="none"/>
                </w:rPr>
                <w:t>JP5114215B2</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光デバイス、および光デバイスの製造方法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2006-01-27</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24</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7" w:history="1">
              <w:r>
                <w:rPr>
                  <w:rStyle w:val="af5"/>
                  <w:rFonts w:eastAsia="仿宋"/>
                  <w:color w:val="auto"/>
                  <w:szCs w:val="21"/>
                  <w:u w:val="none"/>
                </w:rPr>
                <w:t>CN100573970C</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有机层结构及相关的有机发光装置及其制造方法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2005-05-31</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25</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8" w:history="1">
              <w:r>
                <w:rPr>
                  <w:rStyle w:val="af5"/>
                  <w:rFonts w:eastAsia="仿宋"/>
                  <w:color w:val="auto"/>
                  <w:szCs w:val="21"/>
                  <w:u w:val="none"/>
                </w:rPr>
                <w:t>CN102076818B</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用于有机电致发光器件的材料</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2009-06-19</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26</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09" w:history="1">
              <w:r>
                <w:rPr>
                  <w:rStyle w:val="af5"/>
                  <w:rFonts w:eastAsia="仿宋"/>
                  <w:color w:val="auto"/>
                  <w:szCs w:val="21"/>
                  <w:u w:val="none"/>
                </w:rPr>
                <w:t>US7247394B2</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Tuned microcavity color OLED display</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2004-05-04</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27</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10" w:history="1">
              <w:r>
                <w:rPr>
                  <w:rStyle w:val="af5"/>
                  <w:rFonts w:eastAsia="仿宋"/>
                  <w:color w:val="auto"/>
                  <w:szCs w:val="21"/>
                  <w:u w:val="none"/>
                </w:rPr>
                <w:t>CN1708197B</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bidi="ar"/>
              </w:rPr>
            </w:pPr>
            <w:r>
              <w:rPr>
                <w:rFonts w:eastAsia="仿宋"/>
                <w:kern w:val="0"/>
                <w:szCs w:val="21"/>
                <w:lang w:bidi="ar"/>
              </w:rPr>
              <w:t>有机发光显示装置及其制造方法</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2005-05-25</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28</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11" w:history="1">
              <w:r>
                <w:rPr>
                  <w:rStyle w:val="af5"/>
                  <w:rFonts w:eastAsia="仿宋"/>
                  <w:color w:val="auto"/>
                  <w:szCs w:val="21"/>
                  <w:u w:val="none"/>
                </w:rPr>
                <w:t>JP5356213B2</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ボラ</w:t>
            </w:r>
            <w:r>
              <w:rPr>
                <w:rFonts w:eastAsia="仿宋"/>
                <w:kern w:val="0"/>
                <w:szCs w:val="21"/>
                <w:lang w:bidi="ar"/>
              </w:rPr>
              <w:t>-</w:t>
            </w:r>
            <w:r>
              <w:rPr>
                <w:rFonts w:eastAsia="仿宋"/>
                <w:kern w:val="0"/>
                <w:szCs w:val="21"/>
                <w:lang w:bidi="ar"/>
              </w:rPr>
              <w:t>テトラアザペンタレンの使用</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2007-03-30</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29</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12" w:history="1">
              <w:r>
                <w:rPr>
                  <w:rStyle w:val="af5"/>
                  <w:rFonts w:eastAsia="仿宋"/>
                  <w:color w:val="auto"/>
                  <w:szCs w:val="21"/>
                  <w:u w:val="none"/>
                </w:rPr>
                <w:t>DE102016119623B4</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Verfahren zur Herstellung einer optischen Vorrichtung</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2016-10-14</w:t>
            </w:r>
          </w:p>
        </w:tc>
      </w:tr>
      <w:tr w:rsidR="00000000">
        <w:trPr>
          <w:jc w:val="center"/>
        </w:trPr>
        <w:tc>
          <w:tcPr>
            <w:tcW w:w="312" w:type="pct"/>
            <w:tcBorders>
              <w:top w:val="single" w:sz="4" w:space="0" w:color="000000"/>
              <w:left w:val="single" w:sz="4" w:space="0" w:color="000000"/>
              <w:bottom w:val="single" w:sz="4" w:space="0" w:color="000000"/>
              <w:right w:val="single" w:sz="4" w:space="0" w:color="000000"/>
            </w:tcBorders>
            <w:noWrap/>
            <w:vAlign w:val="center"/>
          </w:tcPr>
          <w:p w:rsidR="00000000" w:rsidRDefault="00000000">
            <w:pPr>
              <w:widowControl/>
              <w:jc w:val="center"/>
              <w:textAlignment w:val="center"/>
              <w:rPr>
                <w:rFonts w:eastAsia="仿宋"/>
                <w:szCs w:val="21"/>
                <w:lang w:eastAsia="en-US"/>
              </w:rPr>
            </w:pPr>
            <w:r>
              <w:rPr>
                <w:rFonts w:eastAsia="仿宋"/>
                <w:kern w:val="0"/>
                <w:szCs w:val="21"/>
                <w:lang w:bidi="ar"/>
              </w:rPr>
              <w:t>30</w:t>
            </w:r>
          </w:p>
        </w:tc>
        <w:tc>
          <w:tcPr>
            <w:tcW w:w="1213"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center"/>
              <w:rPr>
                <w:rFonts w:eastAsia="仿宋"/>
                <w:szCs w:val="21"/>
                <w:lang w:eastAsia="en-US" w:bidi="ar"/>
              </w:rPr>
            </w:pPr>
            <w:hyperlink r:id="rId113" w:history="1">
              <w:r>
                <w:rPr>
                  <w:rStyle w:val="af5"/>
                  <w:rFonts w:eastAsia="仿宋"/>
                  <w:color w:val="auto"/>
                  <w:szCs w:val="21"/>
                  <w:u w:val="none"/>
                </w:rPr>
                <w:t>DE102021126733A1</w:t>
              </w:r>
            </w:hyperlink>
          </w:p>
        </w:tc>
        <w:tc>
          <w:tcPr>
            <w:tcW w:w="2708"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ORGANISCHE ELEKTROLUMINESZIERENDE VERBINDUNG, MEHRERE WIRTSMATERIALIEN UND DIESE UMFASSENDE ORGANISCHE ELEKTROLUMINESZIERENDE VORRICHTUNG</w:t>
            </w:r>
          </w:p>
        </w:tc>
        <w:tc>
          <w:tcPr>
            <w:tcW w:w="764" w:type="pct"/>
            <w:tcBorders>
              <w:top w:val="single" w:sz="4" w:space="0" w:color="000000"/>
              <w:left w:val="single" w:sz="4" w:space="0" w:color="000000"/>
              <w:bottom w:val="single" w:sz="4" w:space="0" w:color="000000"/>
              <w:right w:val="single" w:sz="4" w:space="0" w:color="000000"/>
            </w:tcBorders>
            <w:vAlign w:val="center"/>
          </w:tcPr>
          <w:p w:rsidR="00000000" w:rsidRDefault="00000000">
            <w:pPr>
              <w:widowControl/>
              <w:jc w:val="center"/>
              <w:textAlignment w:val="top"/>
              <w:rPr>
                <w:rFonts w:eastAsia="仿宋"/>
                <w:szCs w:val="21"/>
                <w:lang w:eastAsia="en-US" w:bidi="ar"/>
              </w:rPr>
            </w:pPr>
            <w:r>
              <w:rPr>
                <w:rFonts w:eastAsia="仿宋"/>
                <w:kern w:val="0"/>
                <w:szCs w:val="21"/>
                <w:lang w:bidi="ar"/>
              </w:rPr>
              <w:t>2021-10-14</w:t>
            </w:r>
          </w:p>
        </w:tc>
      </w:tr>
    </w:tbl>
    <w:p w:rsidR="00000000" w:rsidRDefault="00000000">
      <w:pPr>
        <w:pStyle w:val="3"/>
        <w:spacing w:beforeLines="50" w:before="156" w:afterLines="50" w:after="156" w:line="440" w:lineRule="exact"/>
        <w:rPr>
          <w:rFonts w:eastAsia="楷体"/>
          <w:sz w:val="28"/>
        </w:rPr>
      </w:pPr>
      <w:bookmarkStart w:id="583" w:name="_Toc12285"/>
      <w:bookmarkStart w:id="584" w:name="_Toc12116"/>
      <w:bookmarkStart w:id="585" w:name="_Toc28320"/>
      <w:bookmarkStart w:id="586" w:name="_Toc133415962"/>
      <w:bookmarkStart w:id="587" w:name="_Toc597"/>
      <w:bookmarkStart w:id="588" w:name="_Toc5675"/>
      <w:bookmarkStart w:id="589" w:name="_Toc22963"/>
      <w:bookmarkStart w:id="590" w:name="_Toc4352"/>
      <w:r>
        <w:rPr>
          <w:rFonts w:eastAsia="楷体"/>
          <w:sz w:val="28"/>
        </w:rPr>
        <w:t xml:space="preserve">5.3.3 </w:t>
      </w:r>
      <w:r>
        <w:rPr>
          <w:rFonts w:eastAsia="楷体"/>
          <w:sz w:val="28"/>
        </w:rPr>
        <w:t>利用公知技术路径</w:t>
      </w:r>
      <w:bookmarkEnd w:id="583"/>
      <w:bookmarkEnd w:id="584"/>
      <w:bookmarkEnd w:id="585"/>
      <w:bookmarkEnd w:id="586"/>
      <w:bookmarkEnd w:id="587"/>
      <w:bookmarkEnd w:id="588"/>
      <w:bookmarkEnd w:id="589"/>
      <w:bookmarkEnd w:id="590"/>
    </w:p>
    <w:p w:rsidR="00000000" w:rsidRDefault="00000000">
      <w:pPr>
        <w:widowControl/>
        <w:spacing w:line="440" w:lineRule="exact"/>
        <w:ind w:firstLineChars="200" w:firstLine="480"/>
        <w:jc w:val="left"/>
        <w:rPr>
          <w:rFonts w:eastAsia="仿宋"/>
          <w:sz w:val="24"/>
        </w:rPr>
      </w:pPr>
      <w:r>
        <w:rPr>
          <w:rFonts w:eastAsia="仿宋"/>
          <w:sz w:val="24"/>
        </w:rPr>
        <w:t>加大公知技术利用，注重专利风险预警，在</w:t>
      </w:r>
      <w:r>
        <w:rPr>
          <w:rFonts w:eastAsia="仿宋"/>
          <w:sz w:val="24"/>
        </w:rPr>
        <w:t>OLED</w:t>
      </w:r>
      <w:r>
        <w:rPr>
          <w:rFonts w:eastAsia="仿宋"/>
          <w:sz w:val="24"/>
        </w:rPr>
        <w:t>发光材料领域，吉林省企业可以积极参考在中国大陆自由使用的专利文献，提高研发起点，防止重复研发。同时，也要关注可能的专利风险，积极跟踪跨国企业专利布局动向，加强专利预警，通过规避涉及或技术引进等方式化解风险。例如，一些龙头企业拥有的一些基础性专利，专利保护范围很大，本省如实施相关技术，应当进一步考虑是否需要技术引进或者规避。</w:t>
      </w:r>
    </w:p>
    <w:p w:rsidR="00000000" w:rsidRDefault="00000000">
      <w:pPr>
        <w:pStyle w:val="2"/>
        <w:spacing w:before="156" w:after="156"/>
        <w:jc w:val="both"/>
        <w:rPr>
          <w:rFonts w:eastAsia="宋体"/>
          <w:szCs w:val="28"/>
        </w:rPr>
      </w:pPr>
      <w:bookmarkStart w:id="591" w:name="_Toc18472"/>
      <w:bookmarkStart w:id="592" w:name="_Toc28886"/>
      <w:bookmarkStart w:id="593" w:name="_Toc739"/>
      <w:bookmarkStart w:id="594" w:name="_Toc17546"/>
      <w:bookmarkStart w:id="595" w:name="_Toc10584"/>
      <w:bookmarkStart w:id="596" w:name="_Toc2876"/>
      <w:bookmarkStart w:id="597" w:name="_Toc24087"/>
      <w:bookmarkStart w:id="598" w:name="_Toc133415963"/>
      <w:r>
        <w:rPr>
          <w:rFonts w:eastAsia="宋体"/>
          <w:szCs w:val="28"/>
        </w:rPr>
        <w:lastRenderedPageBreak/>
        <w:t xml:space="preserve">5.4 </w:t>
      </w:r>
      <w:r>
        <w:rPr>
          <w:rFonts w:eastAsia="宋体"/>
          <w:szCs w:val="28"/>
        </w:rPr>
        <w:t>创新人才引进培养路径</w:t>
      </w:r>
      <w:bookmarkEnd w:id="591"/>
      <w:bookmarkEnd w:id="592"/>
      <w:bookmarkEnd w:id="593"/>
      <w:bookmarkEnd w:id="594"/>
      <w:bookmarkEnd w:id="595"/>
      <w:bookmarkEnd w:id="596"/>
      <w:bookmarkEnd w:id="597"/>
      <w:bookmarkEnd w:id="598"/>
    </w:p>
    <w:p w:rsidR="00000000" w:rsidRDefault="00000000">
      <w:pPr>
        <w:widowControl/>
        <w:spacing w:line="440" w:lineRule="exact"/>
        <w:ind w:firstLineChars="200" w:firstLine="480"/>
        <w:jc w:val="left"/>
        <w:rPr>
          <w:rFonts w:eastAsia="仿宋"/>
          <w:sz w:val="24"/>
        </w:rPr>
      </w:pPr>
      <w:r>
        <w:rPr>
          <w:rFonts w:eastAsia="仿宋"/>
          <w:sz w:val="24"/>
        </w:rPr>
        <w:t>人才是重要的创新资源。在吉林省发展中，要加大人才培养力度，迅速形成人才集聚效应，为吉林省企业创新发展提供智力资源支撑。一方面，要根据吉林省创新发展实际，加大从内部培养人才的力度</w:t>
      </w:r>
      <w:r>
        <w:rPr>
          <w:rFonts w:eastAsia="仿宋"/>
          <w:sz w:val="24"/>
        </w:rPr>
        <w:t>;</w:t>
      </w:r>
      <w:r>
        <w:rPr>
          <w:rFonts w:eastAsia="仿宋"/>
          <w:sz w:val="24"/>
        </w:rPr>
        <w:t>另一方面，要积极从国内外引进高端人才，引领吉林省人才和技术创新发展。</w:t>
      </w:r>
    </w:p>
    <w:p w:rsidR="00000000" w:rsidRDefault="00000000">
      <w:pPr>
        <w:pStyle w:val="3"/>
        <w:spacing w:beforeLines="50" w:before="156" w:afterLines="50" w:after="156" w:line="440" w:lineRule="exact"/>
        <w:rPr>
          <w:rFonts w:eastAsia="楷体"/>
          <w:sz w:val="28"/>
        </w:rPr>
      </w:pPr>
      <w:bookmarkStart w:id="599" w:name="_Toc13796"/>
      <w:bookmarkStart w:id="600" w:name="_Toc21436"/>
      <w:bookmarkStart w:id="601" w:name="_Toc28885"/>
      <w:bookmarkStart w:id="602" w:name="_Toc8131"/>
      <w:bookmarkStart w:id="603" w:name="_Toc26184"/>
      <w:bookmarkStart w:id="604" w:name="_Toc14851"/>
      <w:bookmarkStart w:id="605" w:name="_Toc133415964"/>
      <w:bookmarkStart w:id="606" w:name="_Toc20291"/>
      <w:r>
        <w:rPr>
          <w:rFonts w:eastAsia="楷体"/>
          <w:sz w:val="28"/>
        </w:rPr>
        <w:t xml:space="preserve">5.4.1 </w:t>
      </w:r>
      <w:r>
        <w:rPr>
          <w:rFonts w:eastAsia="楷体"/>
          <w:sz w:val="28"/>
        </w:rPr>
        <w:t>本地人才培养</w:t>
      </w:r>
      <w:bookmarkEnd w:id="599"/>
      <w:bookmarkEnd w:id="600"/>
      <w:bookmarkEnd w:id="601"/>
      <w:bookmarkEnd w:id="602"/>
      <w:bookmarkEnd w:id="603"/>
      <w:bookmarkEnd w:id="604"/>
      <w:bookmarkEnd w:id="605"/>
      <w:bookmarkEnd w:id="606"/>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5-4-1</w:t>
      </w:r>
      <w:r>
        <w:rPr>
          <w:rFonts w:eastAsia="仿宋"/>
          <w:sz w:val="24"/>
        </w:rPr>
        <w:t>给出了吉林省本地创新人才培养对象，通过专利数据分析，可以识别本地区高端人才的分布情况。在</w:t>
      </w:r>
      <w:r>
        <w:rPr>
          <w:rFonts w:eastAsia="仿宋"/>
          <w:sz w:val="24"/>
        </w:rPr>
        <w:t>OLED</w:t>
      </w:r>
      <w:r>
        <w:rPr>
          <w:rFonts w:eastAsia="仿宋"/>
          <w:sz w:val="24"/>
        </w:rPr>
        <w:t>发光材料领域，吉林省本地的一些企业如长春海谱润斯科技股份有限公司、吉林奥来德光电材料股份有限公司拥有一批高端创新人才，如发光层领域的蔡辉团队、马晓宇团队等，数据处理与控制中心领域的陈茂胜团队，在空穴功能层领域，如长春海谱润斯科技股份有限公司的董秀芹团队等，这些人才应作为重要的培养支持对象。此外，还应依托吉林大学、应化所以及中国科学院长春光学精密机械与物理研究所积极培养</w:t>
      </w:r>
      <w:r>
        <w:rPr>
          <w:rFonts w:eastAsia="仿宋"/>
          <w:sz w:val="24"/>
        </w:rPr>
        <w:t>OLED</w:t>
      </w:r>
      <w:r>
        <w:rPr>
          <w:rFonts w:eastAsia="仿宋"/>
          <w:sz w:val="24"/>
        </w:rPr>
        <w:t>发光材料领域创新型高端人才。</w:t>
      </w:r>
    </w:p>
    <w:p w:rsidR="00000000" w:rsidRDefault="000A495B">
      <w:pPr>
        <w:spacing w:line="240" w:lineRule="auto"/>
      </w:pPr>
      <w:r>
        <w:rPr>
          <w:noProof/>
        </w:rPr>
        <w:drawing>
          <wp:inline distT="0" distB="0" distL="0" distR="0">
            <wp:extent cx="5610225" cy="2771775"/>
            <wp:effectExtent l="0" t="0" r="0" b="0"/>
            <wp:docPr id="40"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10225" cy="2771775"/>
                    </a:xfrm>
                    <a:prstGeom prst="rect">
                      <a:avLst/>
                    </a:prstGeom>
                    <a:noFill/>
                    <a:ln>
                      <a:noFill/>
                    </a:ln>
                  </pic:spPr>
                </pic:pic>
              </a:graphicData>
            </a:graphic>
          </wp:inline>
        </w:drawing>
      </w:r>
    </w:p>
    <w:p w:rsidR="00000000" w:rsidRDefault="00000000">
      <w:pPr>
        <w:jc w:val="center"/>
        <w:rPr>
          <w:rFonts w:eastAsia="仿宋"/>
          <w:sz w:val="24"/>
        </w:rPr>
      </w:pPr>
      <w:r>
        <w:rPr>
          <w:rFonts w:eastAsia="仿宋"/>
          <w:sz w:val="24"/>
        </w:rPr>
        <w:t>图</w:t>
      </w:r>
      <w:r>
        <w:rPr>
          <w:rFonts w:eastAsia="仿宋" w:hint="eastAsia"/>
          <w:sz w:val="24"/>
        </w:rPr>
        <w:t>5</w:t>
      </w:r>
      <w:r>
        <w:rPr>
          <w:rFonts w:eastAsia="仿宋"/>
          <w:sz w:val="24"/>
        </w:rPr>
        <w:t xml:space="preserve">-4-1 </w:t>
      </w:r>
      <w:r>
        <w:rPr>
          <w:rFonts w:eastAsia="仿宋"/>
          <w:sz w:val="24"/>
        </w:rPr>
        <w:t>本地创新型人才培养对象</w:t>
      </w:r>
    </w:p>
    <w:p w:rsidR="00000000" w:rsidRDefault="00000000">
      <w:pPr>
        <w:pStyle w:val="3"/>
        <w:spacing w:beforeLines="50" w:before="156" w:afterLines="50" w:after="156" w:line="440" w:lineRule="exact"/>
        <w:rPr>
          <w:rFonts w:eastAsia="楷体"/>
          <w:sz w:val="28"/>
        </w:rPr>
      </w:pPr>
      <w:bookmarkStart w:id="607" w:name="_Toc10451"/>
      <w:bookmarkStart w:id="608" w:name="_Toc13456"/>
      <w:bookmarkStart w:id="609" w:name="_Toc23298"/>
      <w:bookmarkStart w:id="610" w:name="_Toc5484"/>
      <w:bookmarkStart w:id="611" w:name="_Toc27788"/>
      <w:bookmarkStart w:id="612" w:name="_Toc133415965"/>
      <w:bookmarkStart w:id="613" w:name="_Toc13981"/>
      <w:bookmarkStart w:id="614" w:name="_Toc12600"/>
      <w:r>
        <w:rPr>
          <w:rFonts w:eastAsia="楷体"/>
          <w:sz w:val="28"/>
        </w:rPr>
        <w:t xml:space="preserve">5.4.2 </w:t>
      </w:r>
      <w:r>
        <w:rPr>
          <w:rFonts w:eastAsia="楷体"/>
          <w:sz w:val="28"/>
        </w:rPr>
        <w:t>国内人才引进</w:t>
      </w:r>
      <w:bookmarkEnd w:id="607"/>
      <w:bookmarkEnd w:id="608"/>
      <w:bookmarkEnd w:id="609"/>
      <w:bookmarkEnd w:id="610"/>
      <w:bookmarkEnd w:id="611"/>
      <w:bookmarkEnd w:id="612"/>
      <w:bookmarkEnd w:id="613"/>
      <w:bookmarkEnd w:id="614"/>
    </w:p>
    <w:p w:rsidR="00000000" w:rsidRDefault="00000000">
      <w:pPr>
        <w:widowControl/>
        <w:spacing w:line="440" w:lineRule="exact"/>
        <w:ind w:firstLineChars="200" w:firstLine="480"/>
        <w:jc w:val="left"/>
        <w:rPr>
          <w:rFonts w:eastAsia="仿宋"/>
          <w:sz w:val="24"/>
        </w:rPr>
      </w:pPr>
      <w:r>
        <w:rPr>
          <w:rFonts w:eastAsia="仿宋"/>
          <w:sz w:val="24"/>
        </w:rPr>
        <w:t>除了立足本地之外，还可以加大政策倾斜力度，加速引进外部创新型人才，图</w:t>
      </w:r>
      <w:r>
        <w:rPr>
          <w:rFonts w:eastAsia="仿宋"/>
          <w:sz w:val="24"/>
        </w:rPr>
        <w:t>5-4-2</w:t>
      </w:r>
      <w:r>
        <w:rPr>
          <w:rFonts w:eastAsia="仿宋"/>
          <w:sz w:val="24"/>
        </w:rPr>
        <w:t>给出了国内创新型人才培养对象，在</w:t>
      </w:r>
      <w:r>
        <w:rPr>
          <w:rFonts w:eastAsia="仿宋"/>
          <w:sz w:val="24"/>
        </w:rPr>
        <w:t>OLED</w:t>
      </w:r>
      <w:r>
        <w:rPr>
          <w:rFonts w:eastAsia="仿宋"/>
          <w:sz w:val="24"/>
        </w:rPr>
        <w:t>发光材料领域，海洋王照明科技的王平团队在发光层和空穴功能层领域分支中申请数据较多，江苏三月科技股份有限公司的张召超团队在发光层领域的申请数量较多。可以考虑全国范围内不同领域人才的引进。</w:t>
      </w:r>
    </w:p>
    <w:p w:rsidR="00000000" w:rsidRDefault="000A495B">
      <w:r>
        <w:rPr>
          <w:noProof/>
        </w:rPr>
        <w:lastRenderedPageBreak/>
        <w:drawing>
          <wp:inline distT="0" distB="0" distL="0" distR="0">
            <wp:extent cx="5600700" cy="2695575"/>
            <wp:effectExtent l="0" t="0" r="0" b="0"/>
            <wp:docPr id="41"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115" cstate="print">
                      <a:extLst>
                        <a:ext uri="{28A0092B-C50C-407E-A947-70E740481C1C}">
                          <a14:useLocalDpi xmlns:a14="http://schemas.microsoft.com/office/drawing/2010/main" val="0"/>
                        </a:ext>
                      </a:extLst>
                    </a:blip>
                    <a:srcRect t="3148"/>
                    <a:stretch>
                      <a:fillRect/>
                    </a:stretch>
                  </pic:blipFill>
                  <pic:spPr bwMode="auto">
                    <a:xfrm>
                      <a:off x="0" y="0"/>
                      <a:ext cx="5600700" cy="2695575"/>
                    </a:xfrm>
                    <a:prstGeom prst="rect">
                      <a:avLst/>
                    </a:prstGeom>
                    <a:noFill/>
                    <a:ln>
                      <a:noFill/>
                    </a:ln>
                    <a:effectLst/>
                  </pic:spPr>
                </pic:pic>
              </a:graphicData>
            </a:graphic>
          </wp:inline>
        </w:drawing>
      </w:r>
    </w:p>
    <w:p w:rsidR="00000000" w:rsidRDefault="00000000">
      <w:pPr>
        <w:jc w:val="center"/>
        <w:rPr>
          <w:rFonts w:eastAsia="仿宋"/>
          <w:sz w:val="24"/>
        </w:rPr>
      </w:pPr>
      <w:r>
        <w:rPr>
          <w:rFonts w:eastAsia="仿宋"/>
          <w:sz w:val="24"/>
        </w:rPr>
        <w:t>图</w:t>
      </w:r>
      <w:r>
        <w:rPr>
          <w:rFonts w:eastAsia="仿宋" w:hint="eastAsia"/>
          <w:sz w:val="24"/>
        </w:rPr>
        <w:t>5</w:t>
      </w:r>
      <w:r>
        <w:rPr>
          <w:rFonts w:eastAsia="仿宋"/>
          <w:sz w:val="24"/>
        </w:rPr>
        <w:t xml:space="preserve">-4-2 </w:t>
      </w:r>
      <w:r>
        <w:rPr>
          <w:rFonts w:eastAsia="仿宋"/>
          <w:sz w:val="24"/>
        </w:rPr>
        <w:t>国内创新型人才培养对象</w:t>
      </w:r>
    </w:p>
    <w:p w:rsidR="00000000" w:rsidRDefault="00000000">
      <w:pPr>
        <w:pStyle w:val="3"/>
        <w:spacing w:beforeLines="50" w:before="156" w:afterLines="50" w:after="156" w:line="440" w:lineRule="exact"/>
        <w:rPr>
          <w:rFonts w:eastAsia="楷体"/>
          <w:sz w:val="28"/>
        </w:rPr>
      </w:pPr>
      <w:bookmarkStart w:id="615" w:name="_Toc16065"/>
      <w:bookmarkStart w:id="616" w:name="_Toc9563"/>
      <w:bookmarkStart w:id="617" w:name="_Toc13790"/>
      <w:bookmarkStart w:id="618" w:name="_Toc23120"/>
      <w:bookmarkStart w:id="619" w:name="_Toc3427"/>
      <w:bookmarkStart w:id="620" w:name="_Toc5145"/>
      <w:r>
        <w:rPr>
          <w:rFonts w:eastAsia="楷体"/>
          <w:sz w:val="28"/>
        </w:rPr>
        <w:t xml:space="preserve">5.4.3 </w:t>
      </w:r>
      <w:r>
        <w:rPr>
          <w:rFonts w:eastAsia="楷体"/>
          <w:sz w:val="28"/>
        </w:rPr>
        <w:t>国外人才引进</w:t>
      </w:r>
      <w:bookmarkEnd w:id="615"/>
      <w:bookmarkEnd w:id="616"/>
      <w:bookmarkEnd w:id="617"/>
      <w:bookmarkEnd w:id="618"/>
      <w:bookmarkEnd w:id="619"/>
      <w:bookmarkEnd w:id="620"/>
    </w:p>
    <w:p w:rsidR="00000000" w:rsidRDefault="00000000">
      <w:pPr>
        <w:widowControl/>
        <w:spacing w:line="440" w:lineRule="exact"/>
        <w:ind w:firstLineChars="200" w:firstLine="480"/>
        <w:jc w:val="left"/>
        <w:rPr>
          <w:rFonts w:eastAsia="仿宋"/>
          <w:sz w:val="24"/>
        </w:rPr>
      </w:pPr>
      <w:r>
        <w:rPr>
          <w:rFonts w:eastAsia="仿宋"/>
          <w:sz w:val="24"/>
        </w:rPr>
        <w:t>吉林省既要对国内的创新人才进行培育，还要对国际创新人才进行适当引进，可以通过制定优惠的政策引进，产业薄弱或缺失环节的外部创新型人才，引进具有创新实力、拥有核心专利技术的创新人才或与其合作。</w:t>
      </w:r>
    </w:p>
    <w:p w:rsidR="00000000" w:rsidRDefault="00000000">
      <w:pPr>
        <w:widowControl/>
        <w:spacing w:line="440" w:lineRule="exact"/>
        <w:ind w:firstLineChars="200" w:firstLine="480"/>
        <w:jc w:val="left"/>
        <w:rPr>
          <w:rFonts w:eastAsia="仿宋"/>
          <w:sz w:val="24"/>
        </w:rPr>
      </w:pPr>
      <w:r>
        <w:rPr>
          <w:rFonts w:eastAsia="仿宋"/>
          <w:sz w:val="24"/>
        </w:rPr>
        <w:t>图</w:t>
      </w:r>
      <w:r>
        <w:rPr>
          <w:rFonts w:eastAsia="仿宋"/>
          <w:sz w:val="24"/>
        </w:rPr>
        <w:t>5-4-3</w:t>
      </w:r>
      <w:r>
        <w:rPr>
          <w:rFonts w:eastAsia="仿宋"/>
          <w:sz w:val="24"/>
        </w:rPr>
        <w:t>按照技术领域及研发重点，列出了</w:t>
      </w:r>
      <w:r>
        <w:rPr>
          <w:rFonts w:eastAsia="仿宋"/>
          <w:sz w:val="24"/>
        </w:rPr>
        <w:t>OLED</w:t>
      </w:r>
      <w:r>
        <w:rPr>
          <w:rFonts w:eastAsia="仿宋"/>
          <w:sz w:val="24"/>
        </w:rPr>
        <w:t>发光材料领域二级技术分支国外重点关注人才团队情况，国外的发明团队主要在企业当中。吉林省可以根据技术需求，综合该图的信息聚焦人才的引进和关注，吉林省人才储备量具有明显差距，可考虑引入图中的技术创新人才，比如来源于排名前几企业的技术创新人才，创新发展较快的企业技术创新人才更加聚焦最新技术的研发创造，引领着技术的未来发展方向，如马克专利公司的</w:t>
      </w:r>
      <w:r>
        <w:rPr>
          <w:rFonts w:eastAsia="仿宋"/>
          <w:sz w:val="24"/>
        </w:rPr>
        <w:t>STOESSEL, PHILIPP</w:t>
      </w:r>
      <w:r>
        <w:rPr>
          <w:rFonts w:eastAsia="仿宋"/>
          <w:sz w:val="24"/>
        </w:rPr>
        <w:t>团队，其在发光层领域的研究较为全面，可填补吉林省在该领域的空白；又如株式会社半导体能源研究所的</w:t>
      </w:r>
      <w:r>
        <w:rPr>
          <w:rFonts w:eastAsia="仿宋"/>
          <w:sz w:val="24"/>
        </w:rPr>
        <w:t>YAMAZAKI, SHUNPEI</w:t>
      </w:r>
      <w:r>
        <w:rPr>
          <w:rFonts w:eastAsia="仿宋"/>
          <w:sz w:val="24"/>
        </w:rPr>
        <w:t>团队，都具有明显优势。</w:t>
      </w:r>
    </w:p>
    <w:p w:rsidR="00000000" w:rsidRDefault="000A495B">
      <w:pPr>
        <w:jc w:val="center"/>
        <w:rPr>
          <w:rFonts w:eastAsia="仿宋"/>
          <w:sz w:val="24"/>
        </w:rPr>
      </w:pPr>
      <w:r>
        <w:rPr>
          <w:noProof/>
        </w:rPr>
        <w:lastRenderedPageBreak/>
        <w:drawing>
          <wp:inline distT="0" distB="0" distL="0" distR="0">
            <wp:extent cx="5610225" cy="2705100"/>
            <wp:effectExtent l="0" t="0" r="0" b="0"/>
            <wp:docPr id="42"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16">
                      <a:extLst>
                        <a:ext uri="{28A0092B-C50C-407E-A947-70E740481C1C}">
                          <a14:useLocalDpi xmlns:a14="http://schemas.microsoft.com/office/drawing/2010/main" val="0"/>
                        </a:ext>
                      </a:extLst>
                    </a:blip>
                    <a:srcRect t="5222"/>
                    <a:stretch>
                      <a:fillRect/>
                    </a:stretch>
                  </pic:blipFill>
                  <pic:spPr bwMode="auto">
                    <a:xfrm>
                      <a:off x="0" y="0"/>
                      <a:ext cx="5610225" cy="2705100"/>
                    </a:xfrm>
                    <a:prstGeom prst="rect">
                      <a:avLst/>
                    </a:prstGeom>
                    <a:noFill/>
                    <a:ln>
                      <a:noFill/>
                    </a:ln>
                    <a:effectLst/>
                  </pic:spPr>
                </pic:pic>
              </a:graphicData>
            </a:graphic>
          </wp:inline>
        </w:drawing>
      </w:r>
    </w:p>
    <w:p w:rsidR="00000000" w:rsidRDefault="00000000">
      <w:pPr>
        <w:jc w:val="center"/>
      </w:pPr>
      <w:r>
        <w:rPr>
          <w:rFonts w:eastAsia="仿宋"/>
          <w:sz w:val="24"/>
        </w:rPr>
        <w:t>图</w:t>
      </w:r>
      <w:r>
        <w:rPr>
          <w:rFonts w:eastAsia="仿宋" w:hint="eastAsia"/>
          <w:sz w:val="24"/>
        </w:rPr>
        <w:t>5</w:t>
      </w:r>
      <w:r>
        <w:rPr>
          <w:rFonts w:eastAsia="仿宋"/>
          <w:sz w:val="24"/>
        </w:rPr>
        <w:t xml:space="preserve">-4-3 </w:t>
      </w:r>
      <w:r>
        <w:rPr>
          <w:rFonts w:eastAsia="仿宋"/>
          <w:sz w:val="24"/>
        </w:rPr>
        <w:t>国外创新型人才培养对象</w:t>
      </w:r>
    </w:p>
    <w:p w:rsidR="00000000" w:rsidRDefault="00000000">
      <w:pPr>
        <w:pStyle w:val="2"/>
        <w:spacing w:before="156" w:after="156"/>
        <w:jc w:val="both"/>
        <w:rPr>
          <w:rFonts w:eastAsia="宋体"/>
          <w:szCs w:val="28"/>
        </w:rPr>
      </w:pPr>
      <w:bookmarkStart w:id="621" w:name="_Toc3669"/>
      <w:bookmarkStart w:id="622" w:name="_Toc352"/>
      <w:bookmarkStart w:id="623" w:name="_Toc25255"/>
      <w:bookmarkStart w:id="624" w:name="_Toc2974"/>
      <w:bookmarkStart w:id="625" w:name="_Toc8352"/>
      <w:bookmarkStart w:id="626" w:name="_Toc133415967"/>
      <w:bookmarkStart w:id="627" w:name="_Toc19202"/>
      <w:bookmarkStart w:id="628" w:name="_Toc2077"/>
      <w:r>
        <w:rPr>
          <w:rFonts w:eastAsia="宋体"/>
          <w:szCs w:val="28"/>
        </w:rPr>
        <w:t xml:space="preserve">5.5 </w:t>
      </w:r>
      <w:r>
        <w:rPr>
          <w:rFonts w:eastAsia="宋体"/>
          <w:szCs w:val="28"/>
        </w:rPr>
        <w:t>吉林省</w:t>
      </w:r>
      <w:r>
        <w:rPr>
          <w:rFonts w:eastAsia="宋体"/>
          <w:szCs w:val="28"/>
        </w:rPr>
        <w:t>OLED</w:t>
      </w:r>
      <w:r>
        <w:rPr>
          <w:rFonts w:eastAsia="宋体"/>
          <w:szCs w:val="28"/>
        </w:rPr>
        <w:t>发光材料领域发展的对策</w:t>
      </w:r>
      <w:bookmarkEnd w:id="621"/>
      <w:bookmarkEnd w:id="622"/>
      <w:bookmarkEnd w:id="623"/>
      <w:bookmarkEnd w:id="624"/>
      <w:bookmarkEnd w:id="625"/>
      <w:bookmarkEnd w:id="626"/>
      <w:bookmarkEnd w:id="627"/>
      <w:bookmarkEnd w:id="628"/>
    </w:p>
    <w:p w:rsidR="00000000" w:rsidRDefault="00000000">
      <w:pPr>
        <w:widowControl/>
        <w:spacing w:line="440" w:lineRule="exact"/>
        <w:ind w:firstLineChars="200" w:firstLine="480"/>
        <w:jc w:val="left"/>
        <w:rPr>
          <w:rFonts w:eastAsia="仿宋"/>
          <w:sz w:val="24"/>
        </w:rPr>
      </w:pPr>
      <w:r>
        <w:rPr>
          <w:rFonts w:eastAsia="仿宋"/>
          <w:sz w:val="24"/>
        </w:rPr>
        <w:t>吉林省应发挥自主创新能力，对</w:t>
      </w:r>
      <w:r>
        <w:rPr>
          <w:rFonts w:eastAsia="仿宋"/>
          <w:sz w:val="24"/>
        </w:rPr>
        <w:t>OLED</w:t>
      </w:r>
      <w:r>
        <w:rPr>
          <w:rFonts w:eastAsia="仿宋"/>
          <w:sz w:val="24"/>
        </w:rPr>
        <w:t>发光材料领域的关键核心技术，进行攻关与突破。在进行技术研发的过程中，企业应克服各种困难与瓶颈，长期支持，集中攻克相关基础技术、前沿技术和关键技术，以激发企业自主创新能力和获得科学技术为目标，优化企业的战略布局结构。</w:t>
      </w:r>
    </w:p>
    <w:p w:rsidR="00000000" w:rsidRDefault="00000000">
      <w:pPr>
        <w:widowControl/>
        <w:spacing w:line="440" w:lineRule="exact"/>
        <w:ind w:firstLineChars="200" w:firstLine="480"/>
        <w:jc w:val="left"/>
        <w:rPr>
          <w:rFonts w:eastAsia="仿宋"/>
          <w:sz w:val="24"/>
        </w:rPr>
      </w:pPr>
      <w:r>
        <w:rPr>
          <w:rFonts w:eastAsia="仿宋"/>
          <w:sz w:val="24"/>
        </w:rPr>
        <w:t>同时，针对</w:t>
      </w:r>
      <w:r>
        <w:rPr>
          <w:rFonts w:eastAsia="仿宋"/>
          <w:sz w:val="24"/>
        </w:rPr>
        <w:t>OLED</w:t>
      </w:r>
      <w:r>
        <w:rPr>
          <w:rFonts w:eastAsia="仿宋"/>
          <w:sz w:val="24"/>
        </w:rPr>
        <w:t>发光材料领域的产学研机制较为松散，科研机构及高校所研发的技术和产品大多停留在实验室阶段，只有少量投入市场这样一种局面，我吉林省应积极采取应对转变措施，对产学研机制进行整合，促进科研机构与企业之间的沟通与联系，促进产学研相结合。下面从核心技术突破方向、应用场景产业化对策、产业生态构建措施以及风险规避建议四个方面给出建议。</w:t>
      </w:r>
    </w:p>
    <w:p w:rsidR="00000000" w:rsidRDefault="00000000">
      <w:pPr>
        <w:widowControl/>
        <w:spacing w:line="440" w:lineRule="exact"/>
        <w:ind w:firstLineChars="200" w:firstLine="480"/>
        <w:jc w:val="left"/>
        <w:rPr>
          <w:rFonts w:eastAsia="仿宋"/>
          <w:sz w:val="24"/>
        </w:rPr>
      </w:pPr>
      <w:r>
        <w:rPr>
          <w:rFonts w:eastAsia="仿宋"/>
          <w:sz w:val="24"/>
        </w:rPr>
        <w:t xml:space="preserve">1. </w:t>
      </w:r>
      <w:r>
        <w:rPr>
          <w:rFonts w:eastAsia="仿宋"/>
          <w:sz w:val="24"/>
        </w:rPr>
        <w:t>聚焦核心技术研发，强化专利布局</w:t>
      </w:r>
    </w:p>
    <w:p w:rsidR="00000000" w:rsidRDefault="00000000">
      <w:pPr>
        <w:widowControl/>
        <w:spacing w:line="440" w:lineRule="exact"/>
        <w:ind w:firstLineChars="200" w:firstLine="480"/>
        <w:jc w:val="left"/>
        <w:rPr>
          <w:rFonts w:eastAsia="仿宋"/>
          <w:sz w:val="24"/>
        </w:rPr>
      </w:pPr>
      <w:r>
        <w:rPr>
          <w:rFonts w:eastAsia="仿宋"/>
          <w:sz w:val="24"/>
        </w:rPr>
        <w:t>吉林省应依托长春光机所、吉林大学等科研院所在</w:t>
      </w:r>
      <w:r>
        <w:rPr>
          <w:rFonts w:eastAsia="仿宋"/>
          <w:sz w:val="24"/>
        </w:rPr>
        <w:t>OLED</w:t>
      </w:r>
      <w:r>
        <w:rPr>
          <w:rFonts w:eastAsia="仿宋"/>
          <w:sz w:val="24"/>
        </w:rPr>
        <w:t>发光材料领域的积累，重点突破蓝光材料、</w:t>
      </w:r>
      <w:r>
        <w:rPr>
          <w:rFonts w:eastAsia="仿宋"/>
          <w:sz w:val="24"/>
        </w:rPr>
        <w:t>TADF</w:t>
      </w:r>
      <w:r>
        <w:rPr>
          <w:rFonts w:eastAsia="仿宋"/>
          <w:sz w:val="24"/>
        </w:rPr>
        <w:t>（热活化延迟荧光）材料等关键技术，形成高价值专利组合。同时，针对国际巨头（如</w:t>
      </w:r>
      <w:r>
        <w:rPr>
          <w:rFonts w:eastAsia="仿宋"/>
          <w:sz w:val="24"/>
        </w:rPr>
        <w:t>UDC</w:t>
      </w:r>
      <w:r>
        <w:rPr>
          <w:rFonts w:eastAsia="仿宋"/>
          <w:sz w:val="24"/>
        </w:rPr>
        <w:t>、三星）的核心专利壁垒，开展替代性技术研发，申请防御性专利，并参与国内行业标准制定，争取标准必要专利（</w:t>
      </w:r>
      <w:r>
        <w:rPr>
          <w:rFonts w:eastAsia="仿宋"/>
          <w:sz w:val="24"/>
        </w:rPr>
        <w:t>SEP</w:t>
      </w:r>
      <w:r>
        <w:rPr>
          <w:rFonts w:eastAsia="仿宋"/>
          <w:sz w:val="24"/>
        </w:rPr>
        <w:t>）话语权。政府可设立专项基金，支持企业联合高校开展定向攻关，优先布局蒸镀材料、溶液加工型</w:t>
      </w:r>
      <w:r>
        <w:rPr>
          <w:rFonts w:eastAsia="仿宋"/>
          <w:sz w:val="24"/>
        </w:rPr>
        <w:t>OLED</w:t>
      </w:r>
      <w:r>
        <w:rPr>
          <w:rFonts w:eastAsia="仿宋"/>
          <w:sz w:val="24"/>
        </w:rPr>
        <w:t>等产业化关键技术，提升自主创新能力。</w:t>
      </w:r>
    </w:p>
    <w:p w:rsidR="00000000" w:rsidRDefault="00000000">
      <w:pPr>
        <w:widowControl/>
        <w:spacing w:line="440" w:lineRule="exact"/>
        <w:ind w:firstLineChars="200" w:firstLine="480"/>
        <w:jc w:val="left"/>
        <w:rPr>
          <w:rFonts w:eastAsia="仿宋"/>
          <w:sz w:val="24"/>
        </w:rPr>
      </w:pPr>
      <w:r>
        <w:rPr>
          <w:rFonts w:eastAsia="仿宋"/>
          <w:sz w:val="24"/>
        </w:rPr>
        <w:t xml:space="preserve">2. </w:t>
      </w:r>
      <w:r>
        <w:rPr>
          <w:rFonts w:eastAsia="仿宋"/>
          <w:sz w:val="24"/>
        </w:rPr>
        <w:t>推动产学研协同，加速专利转化</w:t>
      </w:r>
    </w:p>
    <w:p w:rsidR="00000000" w:rsidRDefault="00000000">
      <w:pPr>
        <w:widowControl/>
        <w:spacing w:line="440" w:lineRule="exact"/>
        <w:ind w:firstLineChars="200" w:firstLine="480"/>
        <w:jc w:val="left"/>
        <w:rPr>
          <w:rFonts w:eastAsia="仿宋"/>
          <w:sz w:val="24"/>
        </w:rPr>
      </w:pPr>
      <w:r>
        <w:rPr>
          <w:rFonts w:eastAsia="仿宋"/>
          <w:sz w:val="24"/>
        </w:rPr>
        <w:lastRenderedPageBreak/>
        <w:t>整合吉林省内高校、科研机构与企业的创新资源，建立</w:t>
      </w:r>
      <w:r>
        <w:rPr>
          <w:rFonts w:eastAsia="仿宋"/>
          <w:sz w:val="24"/>
        </w:rPr>
        <w:t>“OLED</w:t>
      </w:r>
      <w:r>
        <w:rPr>
          <w:rFonts w:eastAsia="仿宋"/>
          <w:sz w:val="24"/>
        </w:rPr>
        <w:t>材料专利池</w:t>
      </w:r>
      <w:r>
        <w:rPr>
          <w:rFonts w:eastAsia="仿宋"/>
          <w:sz w:val="24"/>
        </w:rPr>
        <w:t>”</w:t>
      </w:r>
      <w:r>
        <w:rPr>
          <w:rFonts w:eastAsia="仿宋"/>
          <w:sz w:val="24"/>
        </w:rPr>
        <w:t>，促进实验室技术向产业化转移。鼓励企业提出具体技术需求，由高校院所进行针对性研发，并共享知识产权。例如，可探索</w:t>
      </w:r>
      <w:r>
        <w:rPr>
          <w:rFonts w:eastAsia="仿宋"/>
          <w:sz w:val="24"/>
        </w:rPr>
        <w:t>“</w:t>
      </w:r>
      <w:r>
        <w:rPr>
          <w:rFonts w:eastAsia="仿宋"/>
          <w:sz w:val="24"/>
        </w:rPr>
        <w:t>高校负责专利、企业优化工艺</w:t>
      </w:r>
      <w:r>
        <w:rPr>
          <w:rFonts w:eastAsia="仿宋"/>
          <w:sz w:val="24"/>
        </w:rPr>
        <w:t>”</w:t>
      </w:r>
      <w:r>
        <w:rPr>
          <w:rFonts w:eastAsia="仿宋"/>
          <w:sz w:val="24"/>
        </w:rPr>
        <w:t>的合作模式，降低企业研发风险。此外，支持奥来德光电等本地龙头企业牵头成立创新联合体，联合攻关</w:t>
      </w:r>
      <w:r>
        <w:rPr>
          <w:rFonts w:eastAsia="仿宋"/>
          <w:sz w:val="24"/>
        </w:rPr>
        <w:t>OLED</w:t>
      </w:r>
      <w:r>
        <w:rPr>
          <w:rFonts w:eastAsia="仿宋"/>
          <w:sz w:val="24"/>
        </w:rPr>
        <w:t>材料纯度、寿命等核心问题，推动专利成果快速落地，形成市场竞争优势。</w:t>
      </w:r>
    </w:p>
    <w:p w:rsidR="00000000" w:rsidRDefault="00000000">
      <w:pPr>
        <w:widowControl/>
        <w:spacing w:line="440" w:lineRule="exact"/>
        <w:ind w:firstLineChars="200" w:firstLine="480"/>
        <w:jc w:val="left"/>
        <w:rPr>
          <w:rFonts w:eastAsia="仿宋"/>
          <w:sz w:val="24"/>
        </w:rPr>
      </w:pPr>
      <w:r>
        <w:rPr>
          <w:rFonts w:eastAsia="仿宋"/>
          <w:sz w:val="24"/>
        </w:rPr>
        <w:t xml:space="preserve">3. </w:t>
      </w:r>
      <w:r>
        <w:rPr>
          <w:rFonts w:eastAsia="仿宋"/>
          <w:sz w:val="24"/>
        </w:rPr>
        <w:t>构建产业链专利生态，拓展应用场景</w:t>
      </w:r>
    </w:p>
    <w:p w:rsidR="00000000" w:rsidRDefault="00000000">
      <w:pPr>
        <w:widowControl/>
        <w:spacing w:line="440" w:lineRule="exact"/>
        <w:ind w:firstLineChars="200" w:firstLine="480"/>
        <w:jc w:val="left"/>
        <w:rPr>
          <w:rFonts w:eastAsia="仿宋"/>
          <w:sz w:val="24"/>
        </w:rPr>
      </w:pPr>
      <w:r>
        <w:rPr>
          <w:rFonts w:eastAsia="仿宋"/>
          <w:sz w:val="24"/>
        </w:rPr>
        <w:t>结合吉林省化工产业优势（如吉化集团），布局</w:t>
      </w:r>
      <w:r>
        <w:rPr>
          <w:rFonts w:eastAsia="仿宋"/>
          <w:sz w:val="24"/>
        </w:rPr>
        <w:t>OLED</w:t>
      </w:r>
      <w:r>
        <w:rPr>
          <w:rFonts w:eastAsia="仿宋"/>
          <w:sz w:val="24"/>
        </w:rPr>
        <w:t>上游原材料（如高纯有机溶剂、中间体）的低成本制备专利，降低对外依赖。同时，联合一汽集团等下游应用企业，开发车用</w:t>
      </w:r>
      <w:r>
        <w:rPr>
          <w:rFonts w:eastAsia="仿宋"/>
          <w:sz w:val="24"/>
        </w:rPr>
        <w:t>OLED</w:t>
      </w:r>
      <w:r>
        <w:rPr>
          <w:rFonts w:eastAsia="仿宋"/>
          <w:sz w:val="24"/>
        </w:rPr>
        <w:t>显示与照明专利技术（如耐高温、柔性面板），打造</w:t>
      </w:r>
      <w:r>
        <w:rPr>
          <w:rFonts w:eastAsia="仿宋"/>
          <w:sz w:val="24"/>
        </w:rPr>
        <w:t>“</w:t>
      </w:r>
      <w:r>
        <w:rPr>
          <w:rFonts w:eastAsia="仿宋"/>
          <w:sz w:val="24"/>
        </w:rPr>
        <w:t>材料</w:t>
      </w:r>
      <w:r>
        <w:rPr>
          <w:rFonts w:eastAsia="仿宋"/>
          <w:sz w:val="24"/>
        </w:rPr>
        <w:t>-</w:t>
      </w:r>
      <w:r>
        <w:rPr>
          <w:rFonts w:eastAsia="仿宋"/>
          <w:sz w:val="24"/>
        </w:rPr>
        <w:t>面板</w:t>
      </w:r>
      <w:r>
        <w:rPr>
          <w:rFonts w:eastAsia="仿宋"/>
          <w:sz w:val="24"/>
        </w:rPr>
        <w:t>-</w:t>
      </w:r>
      <w:r>
        <w:rPr>
          <w:rFonts w:eastAsia="仿宋"/>
          <w:sz w:val="24"/>
        </w:rPr>
        <w:t>整车</w:t>
      </w:r>
      <w:r>
        <w:rPr>
          <w:rFonts w:eastAsia="仿宋"/>
          <w:sz w:val="24"/>
        </w:rPr>
        <w:t>”</w:t>
      </w:r>
      <w:r>
        <w:rPr>
          <w:rFonts w:eastAsia="仿宋"/>
          <w:sz w:val="24"/>
        </w:rPr>
        <w:t>专利集群，抢占车载显示市场。政府可出台政策鼓励产业链上下游企业交叉许可专利，形成协同创新网络，增强整体竞争力。</w:t>
      </w:r>
    </w:p>
    <w:p w:rsidR="00000000" w:rsidRDefault="00000000">
      <w:pPr>
        <w:widowControl/>
        <w:spacing w:line="440" w:lineRule="exact"/>
        <w:ind w:firstLineChars="200" w:firstLine="480"/>
        <w:jc w:val="left"/>
        <w:rPr>
          <w:rFonts w:eastAsia="仿宋"/>
          <w:sz w:val="24"/>
        </w:rPr>
      </w:pPr>
      <w:r>
        <w:rPr>
          <w:rFonts w:eastAsia="仿宋"/>
          <w:sz w:val="24"/>
        </w:rPr>
        <w:t xml:space="preserve">4. </w:t>
      </w:r>
      <w:r>
        <w:rPr>
          <w:rFonts w:eastAsia="仿宋"/>
          <w:sz w:val="24"/>
        </w:rPr>
        <w:t>加强专利风险防控与运营，优化创新环境</w:t>
      </w:r>
    </w:p>
    <w:p w:rsidR="00BA6B73" w:rsidRDefault="00000000">
      <w:pPr>
        <w:widowControl/>
        <w:spacing w:line="440" w:lineRule="exact"/>
        <w:ind w:firstLineChars="200" w:firstLine="480"/>
        <w:jc w:val="left"/>
        <w:rPr>
          <w:rFonts w:eastAsia="仿宋"/>
          <w:sz w:val="24"/>
        </w:rPr>
      </w:pPr>
      <w:r>
        <w:rPr>
          <w:rFonts w:eastAsia="仿宋"/>
          <w:sz w:val="24"/>
        </w:rPr>
        <w:t>建立</w:t>
      </w:r>
      <w:r>
        <w:rPr>
          <w:rFonts w:eastAsia="仿宋"/>
          <w:sz w:val="24"/>
        </w:rPr>
        <w:t>OLED</w:t>
      </w:r>
      <w:r>
        <w:rPr>
          <w:rFonts w:eastAsia="仿宋"/>
          <w:sz w:val="24"/>
        </w:rPr>
        <w:t>材料专利预警机制，监测国际竞争对手的专利动态，提前规避侵权风险。针对重点出口市场（如韩国、东南亚），开展</w:t>
      </w:r>
      <w:r>
        <w:rPr>
          <w:rFonts w:eastAsia="仿宋"/>
          <w:sz w:val="24"/>
        </w:rPr>
        <w:t>FTO</w:t>
      </w:r>
      <w:r>
        <w:rPr>
          <w:rFonts w:eastAsia="仿宋"/>
          <w:sz w:val="24"/>
        </w:rPr>
        <w:t>（自由实施）分析，保障企业海外布局安全。此外，探索专利金融化路径，支持企业通过专利质押融资、证券化等方式获取资金，并对引进的高价值专利给予补贴。政府可争取国家知识产权局支持，开通</w:t>
      </w:r>
      <w:r>
        <w:rPr>
          <w:rFonts w:eastAsia="仿宋"/>
          <w:sz w:val="24"/>
        </w:rPr>
        <w:t>OLED</w:t>
      </w:r>
      <w:r>
        <w:rPr>
          <w:rFonts w:eastAsia="仿宋"/>
          <w:sz w:val="24"/>
        </w:rPr>
        <w:t>材料专利快速审查通道，缩短授权周期，助力企业抢占市场先机。</w:t>
      </w:r>
    </w:p>
    <w:sectPr w:rsidR="00BA6B73">
      <w:pgSz w:w="11906" w:h="16838"/>
      <w:pgMar w:top="1417" w:right="1417" w:bottom="1417" w:left="1417" w:header="851" w:footer="992" w:gutter="0"/>
      <w:pgBorders>
        <w:top w:val="none" w:sz="0" w:space="1" w:color="auto"/>
        <w:left w:val="none" w:sz="0" w:space="4" w:color="auto"/>
        <w:bottom w:val="none" w:sz="0" w:space="1" w:color="auto"/>
        <w:right w:val="none" w:sz="0" w:space="4" w:color="auto"/>
      </w:pgBorders>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6B73" w:rsidRDefault="00BA6B73">
      <w:pPr>
        <w:spacing w:line="240" w:lineRule="auto"/>
      </w:pPr>
      <w:r>
        <w:separator/>
      </w:r>
    </w:p>
  </w:endnote>
  <w:endnote w:type="continuationSeparator" w:id="0">
    <w:p w:rsidR="00BA6B73" w:rsidRDefault="00BA6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8"/>
      <w:framePr w:wrap="around" w:vAnchor="text" w:hAnchor="margin" w:xAlign="center" w:y="1"/>
      <w:rPr>
        <w:rStyle w:val="af2"/>
      </w:rPr>
    </w:pPr>
    <w:r>
      <w:fldChar w:fldCharType="begin"/>
    </w:r>
    <w:r>
      <w:rPr>
        <w:rStyle w:val="af2"/>
      </w:rPr>
      <w:instrText xml:space="preserve">PAGE  </w:instrText>
    </w:r>
    <w:r>
      <w:fldChar w:fldCharType="separate"/>
    </w:r>
    <w:r>
      <w:rPr>
        <w:rStyle w:val="af2"/>
        <w:lang w:val="en-US" w:eastAsia="zh-CN"/>
      </w:rPr>
      <w:t>1</w:t>
    </w:r>
    <w:r>
      <w:fldChar w:fldCharType="end"/>
    </w:r>
  </w:p>
  <w:p w:rsidR="00000000" w:rsidRDefault="0000000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8"/>
      <w:framePr w:wrap="around" w:vAnchor="text" w:hAnchor="margin" w:xAlign="center" w:y="1"/>
      <w:rPr>
        <w:rStyle w:val="af2"/>
      </w:rPr>
    </w:pPr>
    <w:r>
      <w:fldChar w:fldCharType="begin"/>
    </w:r>
    <w:r>
      <w:rPr>
        <w:rStyle w:val="af2"/>
      </w:rPr>
      <w:instrText xml:space="preserve">PAGE  </w:instrText>
    </w:r>
    <w:r>
      <w:fldChar w:fldCharType="separate"/>
    </w:r>
    <w:r>
      <w:rPr>
        <w:rStyle w:val="af2"/>
        <w:lang w:val="en-US" w:eastAsia="zh-CN"/>
      </w:rPr>
      <w:t>II</w:t>
    </w:r>
    <w:r>
      <w:fldChar w:fldCharType="end"/>
    </w:r>
  </w:p>
  <w:p w:rsidR="00000000" w:rsidRDefault="00000000">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8"/>
      <w:framePr w:wrap="around" w:vAnchor="text" w:hAnchor="margin" w:xAlign="center" w:y="1"/>
      <w:rPr>
        <w:rStyle w:val="af2"/>
      </w:rPr>
    </w:pPr>
    <w:r>
      <w:fldChar w:fldCharType="begin"/>
    </w:r>
    <w:r>
      <w:rPr>
        <w:rStyle w:val="af2"/>
      </w:rPr>
      <w:instrText xml:space="preserve">PAGE  </w:instrText>
    </w:r>
    <w:r>
      <w:fldChar w:fldCharType="separate"/>
    </w:r>
    <w:r>
      <w:rPr>
        <w:rStyle w:val="af2"/>
        <w:lang w:val="en-US" w:eastAsia="zh-CN"/>
      </w:rPr>
      <w:t>III</w:t>
    </w:r>
    <w:r>
      <w:fldChar w:fldCharType="end"/>
    </w:r>
  </w:p>
  <w:p w:rsidR="00000000" w:rsidRDefault="00000000">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8"/>
      <w:framePr w:wrap="around" w:vAnchor="text" w:hAnchor="margin" w:xAlign="center" w:y="1"/>
      <w:rPr>
        <w:rStyle w:val="af2"/>
        <w:sz w:val="24"/>
        <w:szCs w:val="24"/>
      </w:rPr>
    </w:pPr>
    <w:r>
      <w:rPr>
        <w:sz w:val="24"/>
        <w:szCs w:val="24"/>
      </w:rPr>
      <w:fldChar w:fldCharType="begin"/>
    </w:r>
    <w:r>
      <w:rPr>
        <w:rStyle w:val="af2"/>
        <w:sz w:val="24"/>
        <w:szCs w:val="24"/>
      </w:rPr>
      <w:instrText xml:space="preserve">PAGE  </w:instrText>
    </w:r>
    <w:r>
      <w:rPr>
        <w:sz w:val="24"/>
        <w:szCs w:val="24"/>
      </w:rPr>
      <w:fldChar w:fldCharType="separate"/>
    </w:r>
    <w:r>
      <w:rPr>
        <w:rStyle w:val="af2"/>
        <w:sz w:val="24"/>
        <w:szCs w:val="24"/>
        <w:lang w:val="en-US" w:eastAsia="zh-CN"/>
      </w:rPr>
      <w:t>40</w:t>
    </w:r>
    <w:r>
      <w:rPr>
        <w:sz w:val="24"/>
        <w:szCs w:val="24"/>
      </w:rPr>
      <w:fldChar w:fldCharType="end"/>
    </w:r>
  </w:p>
  <w:p w:rsidR="00000000" w:rsidRDefault="00000000">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8"/>
      <w:framePr w:wrap="around" w:vAnchor="text" w:hAnchor="margin" w:xAlign="center" w:y="1"/>
      <w:rPr>
        <w:rStyle w:val="af2"/>
      </w:rPr>
    </w:pPr>
    <w:r>
      <w:fldChar w:fldCharType="begin"/>
    </w:r>
    <w:r>
      <w:rPr>
        <w:rStyle w:val="af2"/>
      </w:rPr>
      <w:instrText xml:space="preserve">PAGE  </w:instrText>
    </w:r>
    <w:r>
      <w:fldChar w:fldCharType="separate"/>
    </w:r>
    <w:r>
      <w:rPr>
        <w:rStyle w:val="af2"/>
        <w:lang w:val="en-US" w:eastAsia="zh-CN"/>
      </w:rPr>
      <w:t>45</w:t>
    </w:r>
    <w:r>
      <w:fldChar w:fldCharType="end"/>
    </w:r>
  </w:p>
  <w:p w:rsidR="00000000" w:rsidRDefault="00000000">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8"/>
      <w:framePr w:wrap="around" w:vAnchor="text" w:hAnchor="margin" w:xAlign="center" w:y="1"/>
      <w:rPr>
        <w:rStyle w:val="af2"/>
      </w:rPr>
    </w:pPr>
    <w:r>
      <w:fldChar w:fldCharType="begin"/>
    </w:r>
    <w:r>
      <w:rPr>
        <w:rStyle w:val="af2"/>
      </w:rPr>
      <w:instrText xml:space="preserve">PAGE  </w:instrText>
    </w:r>
    <w:r>
      <w:fldChar w:fldCharType="separate"/>
    </w:r>
    <w:r>
      <w:rPr>
        <w:rStyle w:val="af2"/>
        <w:lang w:val="en-US" w:eastAsia="zh-CN"/>
      </w:rPr>
      <w:t>48</w:t>
    </w:r>
    <w:r>
      <w:fldChar w:fldCharType="end"/>
    </w:r>
  </w:p>
  <w:p w:rsidR="00000000" w:rsidRDefault="0000000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6B73" w:rsidRDefault="00BA6B73">
      <w:pPr>
        <w:spacing w:line="240" w:lineRule="auto"/>
      </w:pPr>
      <w:r>
        <w:separator/>
      </w:r>
    </w:p>
  </w:footnote>
  <w:footnote w:type="continuationSeparator" w:id="0">
    <w:p w:rsidR="00BA6B73" w:rsidRDefault="00BA6B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a"/>
      <w:rPr>
        <w:rFonts w:hint="eastAsia"/>
      </w:rPr>
    </w:pPr>
  </w:p>
  <w:p w:rsidR="00000000" w:rsidRDefault="00000000">
    <w:pPr>
      <w:pStyle w:val="aa"/>
      <w:rPr>
        <w:rFonts w:hint="eastAsia"/>
      </w:rPr>
    </w:pPr>
  </w:p>
  <w:p w:rsidR="00000000" w:rsidRDefault="00000000">
    <w:pPr>
      <w:pStyle w:val="aa"/>
      <w:rPr>
        <w:rFonts w:hint="eastAsia"/>
      </w:rPr>
    </w:pPr>
  </w:p>
  <w:p w:rsidR="00000000" w:rsidRDefault="00000000">
    <w:pPr>
      <w:pStyle w:val="aa"/>
      <w:rPr>
        <w:rFonts w:hint="eastAsia"/>
      </w:rPr>
    </w:pPr>
  </w:p>
  <w:p w:rsidR="00000000" w:rsidRDefault="00000000">
    <w:pPr>
      <w:pStyle w:val="aa"/>
      <w:rPr>
        <w:rFonts w:hint="eastAsia"/>
      </w:rPr>
    </w:pPr>
    <w:r>
      <w:rPr>
        <w:rFonts w:hint="eastAsia"/>
      </w:rPr>
      <w:t>引言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a"/>
      <w:rPr>
        <w:rFonts w:hint="eastAsia"/>
      </w:rPr>
    </w:pPr>
  </w:p>
  <w:p w:rsidR="00000000" w:rsidRDefault="00000000">
    <w:pPr>
      <w:pStyle w:val="aa"/>
      <w:rPr>
        <w:rFonts w:hint="eastAsia"/>
      </w:rPr>
    </w:pPr>
  </w:p>
  <w:p w:rsidR="00000000" w:rsidRDefault="00000000">
    <w:pPr>
      <w:pStyle w:val="aa"/>
      <w:rPr>
        <w:rFonts w:hint="eastAsia"/>
      </w:rPr>
    </w:pPr>
  </w:p>
  <w:p w:rsidR="00000000" w:rsidRDefault="00000000">
    <w:pPr>
      <w:pStyle w:val="aa"/>
      <w:rPr>
        <w:rFonts w:hint="eastAsia"/>
      </w:rPr>
    </w:pPr>
  </w:p>
  <w:p w:rsidR="00000000" w:rsidRDefault="00000000">
    <w:pPr>
      <w:pStyle w:val="aa"/>
      <w:rPr>
        <w:rFonts w:hint="eastAsia"/>
      </w:rPr>
    </w:pPr>
    <w:r>
      <w:rPr>
        <w:rFonts w:hint="eastAsia"/>
      </w:rPr>
      <w:t>目录</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00000" w:rsidRDefault="00000000">
    <w:pPr>
      <w:pStyle w:val="aa"/>
      <w:rPr>
        <w:rFonts w:hint="eastAsia"/>
      </w:rPr>
    </w:pPr>
    <w:r>
      <w:rPr>
        <w:szCs w:val="21"/>
      </w:rPr>
      <w:t>OLED</w:t>
    </w:r>
    <w:r>
      <w:rPr>
        <w:rFonts w:ascii="宋体" w:hAnsi="宋体" w:hint="eastAsia"/>
        <w:szCs w:val="21"/>
      </w:rPr>
      <w:t>发光材料产业专利导航报告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E1MDJiNWE3ZTk2Yzk1MWEwOGNmYmQzZjJlNTkzNjgifQ=="/>
  </w:docVars>
  <w:rsids>
    <w:rsidRoot w:val="00E351EB"/>
    <w:rsid w:val="0001198C"/>
    <w:rsid w:val="0001507D"/>
    <w:rsid w:val="00015242"/>
    <w:rsid w:val="0001543D"/>
    <w:rsid w:val="00015992"/>
    <w:rsid w:val="00020DA5"/>
    <w:rsid w:val="00021053"/>
    <w:rsid w:val="00022557"/>
    <w:rsid w:val="00022A63"/>
    <w:rsid w:val="000270D0"/>
    <w:rsid w:val="0003046E"/>
    <w:rsid w:val="00030500"/>
    <w:rsid w:val="00030CDB"/>
    <w:rsid w:val="00034174"/>
    <w:rsid w:val="00034565"/>
    <w:rsid w:val="000430CB"/>
    <w:rsid w:val="00051A81"/>
    <w:rsid w:val="000567B5"/>
    <w:rsid w:val="00061426"/>
    <w:rsid w:val="0006202C"/>
    <w:rsid w:val="00062108"/>
    <w:rsid w:val="000662F7"/>
    <w:rsid w:val="00071821"/>
    <w:rsid w:val="00074535"/>
    <w:rsid w:val="000774CB"/>
    <w:rsid w:val="0007786E"/>
    <w:rsid w:val="00080A02"/>
    <w:rsid w:val="00082693"/>
    <w:rsid w:val="00083528"/>
    <w:rsid w:val="00091E8B"/>
    <w:rsid w:val="00094550"/>
    <w:rsid w:val="000950B0"/>
    <w:rsid w:val="00095B2C"/>
    <w:rsid w:val="000A002F"/>
    <w:rsid w:val="000A495B"/>
    <w:rsid w:val="000A5DCB"/>
    <w:rsid w:val="000B2261"/>
    <w:rsid w:val="000B2E6A"/>
    <w:rsid w:val="000B309D"/>
    <w:rsid w:val="000B4C42"/>
    <w:rsid w:val="000B59CA"/>
    <w:rsid w:val="000B7DF1"/>
    <w:rsid w:val="000C08F6"/>
    <w:rsid w:val="000C14B3"/>
    <w:rsid w:val="000C2CD9"/>
    <w:rsid w:val="000C4121"/>
    <w:rsid w:val="000C7050"/>
    <w:rsid w:val="000D1839"/>
    <w:rsid w:val="000D55D1"/>
    <w:rsid w:val="000D659F"/>
    <w:rsid w:val="000D7268"/>
    <w:rsid w:val="000D74BD"/>
    <w:rsid w:val="000E0767"/>
    <w:rsid w:val="000E218F"/>
    <w:rsid w:val="000E3B79"/>
    <w:rsid w:val="000F026D"/>
    <w:rsid w:val="000F158F"/>
    <w:rsid w:val="000F337B"/>
    <w:rsid w:val="000F3617"/>
    <w:rsid w:val="000F507F"/>
    <w:rsid w:val="000F5BA4"/>
    <w:rsid w:val="000F6E87"/>
    <w:rsid w:val="00103A10"/>
    <w:rsid w:val="00105811"/>
    <w:rsid w:val="00110C8A"/>
    <w:rsid w:val="001125E6"/>
    <w:rsid w:val="001129C2"/>
    <w:rsid w:val="00113E86"/>
    <w:rsid w:val="001141DD"/>
    <w:rsid w:val="0011439C"/>
    <w:rsid w:val="00116D17"/>
    <w:rsid w:val="00117D3C"/>
    <w:rsid w:val="0012458D"/>
    <w:rsid w:val="001255B4"/>
    <w:rsid w:val="0012655A"/>
    <w:rsid w:val="0012676E"/>
    <w:rsid w:val="0013150C"/>
    <w:rsid w:val="00132A3F"/>
    <w:rsid w:val="0013690E"/>
    <w:rsid w:val="00136C99"/>
    <w:rsid w:val="0013777F"/>
    <w:rsid w:val="001422C3"/>
    <w:rsid w:val="00142E21"/>
    <w:rsid w:val="00142FDB"/>
    <w:rsid w:val="001448FA"/>
    <w:rsid w:val="00146CDD"/>
    <w:rsid w:val="001473CC"/>
    <w:rsid w:val="00153D3A"/>
    <w:rsid w:val="001541B0"/>
    <w:rsid w:val="00154BC4"/>
    <w:rsid w:val="00154E32"/>
    <w:rsid w:val="00155998"/>
    <w:rsid w:val="00156DB8"/>
    <w:rsid w:val="001579ED"/>
    <w:rsid w:val="00161435"/>
    <w:rsid w:val="00165ED4"/>
    <w:rsid w:val="00166514"/>
    <w:rsid w:val="00166623"/>
    <w:rsid w:val="00172819"/>
    <w:rsid w:val="00174D1C"/>
    <w:rsid w:val="00175DC3"/>
    <w:rsid w:val="0018688D"/>
    <w:rsid w:val="001906B9"/>
    <w:rsid w:val="00193D68"/>
    <w:rsid w:val="00194A68"/>
    <w:rsid w:val="001974E9"/>
    <w:rsid w:val="0019785B"/>
    <w:rsid w:val="00197C98"/>
    <w:rsid w:val="001A0D43"/>
    <w:rsid w:val="001A3782"/>
    <w:rsid w:val="001A3E72"/>
    <w:rsid w:val="001A3FB7"/>
    <w:rsid w:val="001A6091"/>
    <w:rsid w:val="001A6433"/>
    <w:rsid w:val="001A69EF"/>
    <w:rsid w:val="001A6C32"/>
    <w:rsid w:val="001A7381"/>
    <w:rsid w:val="001B0186"/>
    <w:rsid w:val="001B07A2"/>
    <w:rsid w:val="001B2012"/>
    <w:rsid w:val="001B2880"/>
    <w:rsid w:val="001B404F"/>
    <w:rsid w:val="001B59DE"/>
    <w:rsid w:val="001C0E2E"/>
    <w:rsid w:val="001C2281"/>
    <w:rsid w:val="001C3AC0"/>
    <w:rsid w:val="001C4C63"/>
    <w:rsid w:val="001C4FAC"/>
    <w:rsid w:val="001C56FE"/>
    <w:rsid w:val="001D20D9"/>
    <w:rsid w:val="001D2A58"/>
    <w:rsid w:val="001D4439"/>
    <w:rsid w:val="001E1006"/>
    <w:rsid w:val="001E19A4"/>
    <w:rsid w:val="001E671F"/>
    <w:rsid w:val="001F0BDD"/>
    <w:rsid w:val="001F4E49"/>
    <w:rsid w:val="001F4FC2"/>
    <w:rsid w:val="001F652F"/>
    <w:rsid w:val="001F792F"/>
    <w:rsid w:val="00201B9D"/>
    <w:rsid w:val="002022C9"/>
    <w:rsid w:val="0020531F"/>
    <w:rsid w:val="0020706C"/>
    <w:rsid w:val="00207184"/>
    <w:rsid w:val="00212527"/>
    <w:rsid w:val="00221418"/>
    <w:rsid w:val="00222111"/>
    <w:rsid w:val="0022211D"/>
    <w:rsid w:val="00222ADA"/>
    <w:rsid w:val="00222D5A"/>
    <w:rsid w:val="00222E9C"/>
    <w:rsid w:val="00225D92"/>
    <w:rsid w:val="00225EC9"/>
    <w:rsid w:val="00226074"/>
    <w:rsid w:val="00227162"/>
    <w:rsid w:val="00231237"/>
    <w:rsid w:val="00232DCB"/>
    <w:rsid w:val="0023358F"/>
    <w:rsid w:val="0024423C"/>
    <w:rsid w:val="0024494F"/>
    <w:rsid w:val="0025226E"/>
    <w:rsid w:val="00253394"/>
    <w:rsid w:val="002553B3"/>
    <w:rsid w:val="002568ED"/>
    <w:rsid w:val="00256B3A"/>
    <w:rsid w:val="0026312F"/>
    <w:rsid w:val="00265880"/>
    <w:rsid w:val="00271112"/>
    <w:rsid w:val="00272276"/>
    <w:rsid w:val="00275AE1"/>
    <w:rsid w:val="002764DA"/>
    <w:rsid w:val="00276690"/>
    <w:rsid w:val="00283715"/>
    <w:rsid w:val="00285716"/>
    <w:rsid w:val="00285EF9"/>
    <w:rsid w:val="002866C2"/>
    <w:rsid w:val="0028737E"/>
    <w:rsid w:val="00293BF5"/>
    <w:rsid w:val="0029473F"/>
    <w:rsid w:val="00294843"/>
    <w:rsid w:val="00295247"/>
    <w:rsid w:val="002A1193"/>
    <w:rsid w:val="002A2C28"/>
    <w:rsid w:val="002A3D17"/>
    <w:rsid w:val="002A41B0"/>
    <w:rsid w:val="002A5893"/>
    <w:rsid w:val="002A5BEA"/>
    <w:rsid w:val="002B0076"/>
    <w:rsid w:val="002B4974"/>
    <w:rsid w:val="002C0A87"/>
    <w:rsid w:val="002C1122"/>
    <w:rsid w:val="002C1C31"/>
    <w:rsid w:val="002C7FF8"/>
    <w:rsid w:val="002D088D"/>
    <w:rsid w:val="002D3629"/>
    <w:rsid w:val="002D654A"/>
    <w:rsid w:val="002D6CF4"/>
    <w:rsid w:val="002D7005"/>
    <w:rsid w:val="002E562C"/>
    <w:rsid w:val="002E7659"/>
    <w:rsid w:val="002E7DEC"/>
    <w:rsid w:val="002F7E3D"/>
    <w:rsid w:val="0030145D"/>
    <w:rsid w:val="00305076"/>
    <w:rsid w:val="00305D12"/>
    <w:rsid w:val="0030774E"/>
    <w:rsid w:val="00310129"/>
    <w:rsid w:val="00310583"/>
    <w:rsid w:val="003106CD"/>
    <w:rsid w:val="00311616"/>
    <w:rsid w:val="003159D5"/>
    <w:rsid w:val="00317202"/>
    <w:rsid w:val="0032533F"/>
    <w:rsid w:val="00331AF9"/>
    <w:rsid w:val="003321EA"/>
    <w:rsid w:val="00333B9D"/>
    <w:rsid w:val="0034179A"/>
    <w:rsid w:val="003437A0"/>
    <w:rsid w:val="00344A7C"/>
    <w:rsid w:val="00346406"/>
    <w:rsid w:val="00354F8D"/>
    <w:rsid w:val="00355C4A"/>
    <w:rsid w:val="003636C6"/>
    <w:rsid w:val="00365A3B"/>
    <w:rsid w:val="00370AEC"/>
    <w:rsid w:val="003734F9"/>
    <w:rsid w:val="0037461F"/>
    <w:rsid w:val="0037554C"/>
    <w:rsid w:val="00376086"/>
    <w:rsid w:val="00376B74"/>
    <w:rsid w:val="00377FF8"/>
    <w:rsid w:val="00380B3C"/>
    <w:rsid w:val="00381E7E"/>
    <w:rsid w:val="003832C8"/>
    <w:rsid w:val="00384E88"/>
    <w:rsid w:val="003861C9"/>
    <w:rsid w:val="00390536"/>
    <w:rsid w:val="00390CD6"/>
    <w:rsid w:val="00391879"/>
    <w:rsid w:val="00391D85"/>
    <w:rsid w:val="00393780"/>
    <w:rsid w:val="003A1FE2"/>
    <w:rsid w:val="003A20D3"/>
    <w:rsid w:val="003A2D05"/>
    <w:rsid w:val="003A6D83"/>
    <w:rsid w:val="003B2589"/>
    <w:rsid w:val="003B5815"/>
    <w:rsid w:val="003B7EDA"/>
    <w:rsid w:val="003C0720"/>
    <w:rsid w:val="003C1FB3"/>
    <w:rsid w:val="003D0594"/>
    <w:rsid w:val="003D6C62"/>
    <w:rsid w:val="003F0B45"/>
    <w:rsid w:val="003F4191"/>
    <w:rsid w:val="00401667"/>
    <w:rsid w:val="004034AC"/>
    <w:rsid w:val="004050F4"/>
    <w:rsid w:val="00406067"/>
    <w:rsid w:val="00406413"/>
    <w:rsid w:val="00407D12"/>
    <w:rsid w:val="00410E8E"/>
    <w:rsid w:val="00414868"/>
    <w:rsid w:val="004164C5"/>
    <w:rsid w:val="00416800"/>
    <w:rsid w:val="00421888"/>
    <w:rsid w:val="00421D62"/>
    <w:rsid w:val="00423396"/>
    <w:rsid w:val="00423680"/>
    <w:rsid w:val="00423F38"/>
    <w:rsid w:val="00423F8A"/>
    <w:rsid w:val="00426DA5"/>
    <w:rsid w:val="004406AC"/>
    <w:rsid w:val="004443DE"/>
    <w:rsid w:val="00445FB1"/>
    <w:rsid w:val="00447BA2"/>
    <w:rsid w:val="00447D2F"/>
    <w:rsid w:val="004510E7"/>
    <w:rsid w:val="00452D0A"/>
    <w:rsid w:val="00454D91"/>
    <w:rsid w:val="00456B02"/>
    <w:rsid w:val="00461200"/>
    <w:rsid w:val="004615F6"/>
    <w:rsid w:val="00461B7E"/>
    <w:rsid w:val="00462779"/>
    <w:rsid w:val="0046477F"/>
    <w:rsid w:val="00466533"/>
    <w:rsid w:val="00471F65"/>
    <w:rsid w:val="004722A4"/>
    <w:rsid w:val="004731D6"/>
    <w:rsid w:val="004802A5"/>
    <w:rsid w:val="00481021"/>
    <w:rsid w:val="00484190"/>
    <w:rsid w:val="00484D90"/>
    <w:rsid w:val="00491E32"/>
    <w:rsid w:val="004962D5"/>
    <w:rsid w:val="004A0754"/>
    <w:rsid w:val="004A6E3B"/>
    <w:rsid w:val="004B00C1"/>
    <w:rsid w:val="004B1E24"/>
    <w:rsid w:val="004B2ECF"/>
    <w:rsid w:val="004B3D21"/>
    <w:rsid w:val="004B4414"/>
    <w:rsid w:val="004B5566"/>
    <w:rsid w:val="004B5BF0"/>
    <w:rsid w:val="004B7058"/>
    <w:rsid w:val="004C148D"/>
    <w:rsid w:val="004D09C1"/>
    <w:rsid w:val="004D1EDD"/>
    <w:rsid w:val="004D2BEF"/>
    <w:rsid w:val="004D449F"/>
    <w:rsid w:val="004D5949"/>
    <w:rsid w:val="004D6F13"/>
    <w:rsid w:val="004E28E5"/>
    <w:rsid w:val="004E2FA3"/>
    <w:rsid w:val="004E32EB"/>
    <w:rsid w:val="004E3F8C"/>
    <w:rsid w:val="004E5821"/>
    <w:rsid w:val="004E5D24"/>
    <w:rsid w:val="004E693C"/>
    <w:rsid w:val="004F3025"/>
    <w:rsid w:val="004F3212"/>
    <w:rsid w:val="004F4866"/>
    <w:rsid w:val="004F5627"/>
    <w:rsid w:val="004F5BD2"/>
    <w:rsid w:val="00500D9C"/>
    <w:rsid w:val="0050120B"/>
    <w:rsid w:val="00503300"/>
    <w:rsid w:val="00503D84"/>
    <w:rsid w:val="00503DD6"/>
    <w:rsid w:val="00510060"/>
    <w:rsid w:val="0051059E"/>
    <w:rsid w:val="00512622"/>
    <w:rsid w:val="005130A0"/>
    <w:rsid w:val="00513F5C"/>
    <w:rsid w:val="005146EE"/>
    <w:rsid w:val="0051487C"/>
    <w:rsid w:val="00517DCE"/>
    <w:rsid w:val="00522157"/>
    <w:rsid w:val="00525368"/>
    <w:rsid w:val="00530FE9"/>
    <w:rsid w:val="00532400"/>
    <w:rsid w:val="005325EA"/>
    <w:rsid w:val="0053377D"/>
    <w:rsid w:val="00535EE9"/>
    <w:rsid w:val="00536093"/>
    <w:rsid w:val="005364BA"/>
    <w:rsid w:val="00537044"/>
    <w:rsid w:val="0054485C"/>
    <w:rsid w:val="00546154"/>
    <w:rsid w:val="00547316"/>
    <w:rsid w:val="005476AE"/>
    <w:rsid w:val="00547E06"/>
    <w:rsid w:val="0055166C"/>
    <w:rsid w:val="00551EE8"/>
    <w:rsid w:val="0055316A"/>
    <w:rsid w:val="0055624E"/>
    <w:rsid w:val="00556370"/>
    <w:rsid w:val="005577B1"/>
    <w:rsid w:val="00561BE1"/>
    <w:rsid w:val="0056207E"/>
    <w:rsid w:val="00565480"/>
    <w:rsid w:val="005665E5"/>
    <w:rsid w:val="00566DF0"/>
    <w:rsid w:val="00566ECA"/>
    <w:rsid w:val="005679F7"/>
    <w:rsid w:val="00572462"/>
    <w:rsid w:val="0057354E"/>
    <w:rsid w:val="00577510"/>
    <w:rsid w:val="00577B19"/>
    <w:rsid w:val="0058055A"/>
    <w:rsid w:val="005820C1"/>
    <w:rsid w:val="005826DE"/>
    <w:rsid w:val="00583598"/>
    <w:rsid w:val="00583AD9"/>
    <w:rsid w:val="00584BD3"/>
    <w:rsid w:val="00586664"/>
    <w:rsid w:val="00586876"/>
    <w:rsid w:val="0059254D"/>
    <w:rsid w:val="0059281C"/>
    <w:rsid w:val="00595001"/>
    <w:rsid w:val="00595123"/>
    <w:rsid w:val="0059583B"/>
    <w:rsid w:val="005A58B5"/>
    <w:rsid w:val="005B2ACD"/>
    <w:rsid w:val="005B2DE3"/>
    <w:rsid w:val="005B52A0"/>
    <w:rsid w:val="005B62F2"/>
    <w:rsid w:val="005B7F61"/>
    <w:rsid w:val="005C0876"/>
    <w:rsid w:val="005C0DE9"/>
    <w:rsid w:val="005C5F80"/>
    <w:rsid w:val="005C6AF8"/>
    <w:rsid w:val="005D15C2"/>
    <w:rsid w:val="005D1A12"/>
    <w:rsid w:val="005D5845"/>
    <w:rsid w:val="005D7988"/>
    <w:rsid w:val="005E1E1C"/>
    <w:rsid w:val="005E2204"/>
    <w:rsid w:val="005E3DF2"/>
    <w:rsid w:val="005E7A84"/>
    <w:rsid w:val="005F4269"/>
    <w:rsid w:val="005F504A"/>
    <w:rsid w:val="006000D9"/>
    <w:rsid w:val="00602FC2"/>
    <w:rsid w:val="00607A5E"/>
    <w:rsid w:val="00610AE5"/>
    <w:rsid w:val="006153D6"/>
    <w:rsid w:val="00620E1A"/>
    <w:rsid w:val="00624586"/>
    <w:rsid w:val="00625A9C"/>
    <w:rsid w:val="00635BC6"/>
    <w:rsid w:val="006373E4"/>
    <w:rsid w:val="00637B46"/>
    <w:rsid w:val="00640827"/>
    <w:rsid w:val="0064605E"/>
    <w:rsid w:val="0065007A"/>
    <w:rsid w:val="006518CF"/>
    <w:rsid w:val="00656646"/>
    <w:rsid w:val="006567AB"/>
    <w:rsid w:val="00661A0A"/>
    <w:rsid w:val="00663CAE"/>
    <w:rsid w:val="00667C08"/>
    <w:rsid w:val="00673285"/>
    <w:rsid w:val="006746A4"/>
    <w:rsid w:val="0067530C"/>
    <w:rsid w:val="006818EF"/>
    <w:rsid w:val="0068389A"/>
    <w:rsid w:val="006904F0"/>
    <w:rsid w:val="0069132F"/>
    <w:rsid w:val="00691B3A"/>
    <w:rsid w:val="00691C81"/>
    <w:rsid w:val="00693A68"/>
    <w:rsid w:val="00693DE5"/>
    <w:rsid w:val="006975A0"/>
    <w:rsid w:val="006A1408"/>
    <w:rsid w:val="006A1920"/>
    <w:rsid w:val="006A1DE0"/>
    <w:rsid w:val="006A4D59"/>
    <w:rsid w:val="006B3011"/>
    <w:rsid w:val="006B3644"/>
    <w:rsid w:val="006B6873"/>
    <w:rsid w:val="006B6E6D"/>
    <w:rsid w:val="006C33A1"/>
    <w:rsid w:val="006C344F"/>
    <w:rsid w:val="006C3F80"/>
    <w:rsid w:val="006C4B8F"/>
    <w:rsid w:val="006D08FF"/>
    <w:rsid w:val="006D24E7"/>
    <w:rsid w:val="006D41D3"/>
    <w:rsid w:val="006D56A9"/>
    <w:rsid w:val="006D7969"/>
    <w:rsid w:val="006E0929"/>
    <w:rsid w:val="006E21CB"/>
    <w:rsid w:val="006E2608"/>
    <w:rsid w:val="006E3578"/>
    <w:rsid w:val="006E35F6"/>
    <w:rsid w:val="006E4E7A"/>
    <w:rsid w:val="006E6435"/>
    <w:rsid w:val="006E7991"/>
    <w:rsid w:val="006F4055"/>
    <w:rsid w:val="00700885"/>
    <w:rsid w:val="00701FDC"/>
    <w:rsid w:val="00704CDF"/>
    <w:rsid w:val="00707204"/>
    <w:rsid w:val="00710005"/>
    <w:rsid w:val="007128D5"/>
    <w:rsid w:val="00712C38"/>
    <w:rsid w:val="00714BDA"/>
    <w:rsid w:val="00716734"/>
    <w:rsid w:val="00717890"/>
    <w:rsid w:val="00720209"/>
    <w:rsid w:val="00720286"/>
    <w:rsid w:val="0072275F"/>
    <w:rsid w:val="00722996"/>
    <w:rsid w:val="00725085"/>
    <w:rsid w:val="00726383"/>
    <w:rsid w:val="007318C4"/>
    <w:rsid w:val="00732905"/>
    <w:rsid w:val="0073619A"/>
    <w:rsid w:val="00743520"/>
    <w:rsid w:val="0074646A"/>
    <w:rsid w:val="0075098A"/>
    <w:rsid w:val="00750BF2"/>
    <w:rsid w:val="00752363"/>
    <w:rsid w:val="00753A63"/>
    <w:rsid w:val="00753BE0"/>
    <w:rsid w:val="007553FA"/>
    <w:rsid w:val="0075579C"/>
    <w:rsid w:val="00757FC5"/>
    <w:rsid w:val="00762517"/>
    <w:rsid w:val="00763D84"/>
    <w:rsid w:val="00765074"/>
    <w:rsid w:val="0076608F"/>
    <w:rsid w:val="007669CD"/>
    <w:rsid w:val="007713F2"/>
    <w:rsid w:val="00774D01"/>
    <w:rsid w:val="007772B2"/>
    <w:rsid w:val="00777C5C"/>
    <w:rsid w:val="00781920"/>
    <w:rsid w:val="00782787"/>
    <w:rsid w:val="00782884"/>
    <w:rsid w:val="00784545"/>
    <w:rsid w:val="00786746"/>
    <w:rsid w:val="007909A9"/>
    <w:rsid w:val="00792579"/>
    <w:rsid w:val="00794F4D"/>
    <w:rsid w:val="007978C9"/>
    <w:rsid w:val="007A2BAD"/>
    <w:rsid w:val="007A35E6"/>
    <w:rsid w:val="007A5060"/>
    <w:rsid w:val="007A6A33"/>
    <w:rsid w:val="007A6C3A"/>
    <w:rsid w:val="007B0C96"/>
    <w:rsid w:val="007B6E38"/>
    <w:rsid w:val="007C00FE"/>
    <w:rsid w:val="007C1BC8"/>
    <w:rsid w:val="007C23AB"/>
    <w:rsid w:val="007C4F65"/>
    <w:rsid w:val="007C56AB"/>
    <w:rsid w:val="007D0683"/>
    <w:rsid w:val="007D3D98"/>
    <w:rsid w:val="007D51EB"/>
    <w:rsid w:val="007D6E0F"/>
    <w:rsid w:val="007D72E5"/>
    <w:rsid w:val="007D7F8C"/>
    <w:rsid w:val="007E0FBB"/>
    <w:rsid w:val="007E3845"/>
    <w:rsid w:val="007E4196"/>
    <w:rsid w:val="007F0253"/>
    <w:rsid w:val="007F3E75"/>
    <w:rsid w:val="00801120"/>
    <w:rsid w:val="00804614"/>
    <w:rsid w:val="00807039"/>
    <w:rsid w:val="00811847"/>
    <w:rsid w:val="00813C5F"/>
    <w:rsid w:val="00814D63"/>
    <w:rsid w:val="0081517A"/>
    <w:rsid w:val="00820551"/>
    <w:rsid w:val="0082134C"/>
    <w:rsid w:val="00821469"/>
    <w:rsid w:val="00821AD4"/>
    <w:rsid w:val="008243A4"/>
    <w:rsid w:val="0082470F"/>
    <w:rsid w:val="00825EE9"/>
    <w:rsid w:val="008263E8"/>
    <w:rsid w:val="00826FF3"/>
    <w:rsid w:val="008270B9"/>
    <w:rsid w:val="008306CA"/>
    <w:rsid w:val="00837194"/>
    <w:rsid w:val="00837E22"/>
    <w:rsid w:val="00841DF6"/>
    <w:rsid w:val="00843766"/>
    <w:rsid w:val="00843E38"/>
    <w:rsid w:val="00850511"/>
    <w:rsid w:val="0085100D"/>
    <w:rsid w:val="00852C84"/>
    <w:rsid w:val="00854C7B"/>
    <w:rsid w:val="00855C7C"/>
    <w:rsid w:val="00860344"/>
    <w:rsid w:val="0086106E"/>
    <w:rsid w:val="00862294"/>
    <w:rsid w:val="00867399"/>
    <w:rsid w:val="00871089"/>
    <w:rsid w:val="008712AD"/>
    <w:rsid w:val="00871A92"/>
    <w:rsid w:val="00871BBF"/>
    <w:rsid w:val="008751E7"/>
    <w:rsid w:val="00876F43"/>
    <w:rsid w:val="00877C06"/>
    <w:rsid w:val="00877D69"/>
    <w:rsid w:val="00877F1D"/>
    <w:rsid w:val="008815E6"/>
    <w:rsid w:val="00881D86"/>
    <w:rsid w:val="008834A6"/>
    <w:rsid w:val="00885924"/>
    <w:rsid w:val="00886290"/>
    <w:rsid w:val="008867B8"/>
    <w:rsid w:val="0089242E"/>
    <w:rsid w:val="008928AE"/>
    <w:rsid w:val="00893B4C"/>
    <w:rsid w:val="008A5E0D"/>
    <w:rsid w:val="008A616B"/>
    <w:rsid w:val="008A6E63"/>
    <w:rsid w:val="008A71C2"/>
    <w:rsid w:val="008B1170"/>
    <w:rsid w:val="008B1E68"/>
    <w:rsid w:val="008B30AB"/>
    <w:rsid w:val="008B31A8"/>
    <w:rsid w:val="008B4B64"/>
    <w:rsid w:val="008C2FFB"/>
    <w:rsid w:val="008C5739"/>
    <w:rsid w:val="008C6CCA"/>
    <w:rsid w:val="008D46E1"/>
    <w:rsid w:val="008D5EEE"/>
    <w:rsid w:val="008E1B33"/>
    <w:rsid w:val="008E2C19"/>
    <w:rsid w:val="008E6240"/>
    <w:rsid w:val="008E7D7F"/>
    <w:rsid w:val="008F01F1"/>
    <w:rsid w:val="008F06E1"/>
    <w:rsid w:val="008F1997"/>
    <w:rsid w:val="008F3308"/>
    <w:rsid w:val="008F378D"/>
    <w:rsid w:val="008F43D6"/>
    <w:rsid w:val="009010CA"/>
    <w:rsid w:val="00902BBF"/>
    <w:rsid w:val="00903D2F"/>
    <w:rsid w:val="00910577"/>
    <w:rsid w:val="00911432"/>
    <w:rsid w:val="00912350"/>
    <w:rsid w:val="009173EB"/>
    <w:rsid w:val="00921428"/>
    <w:rsid w:val="00925935"/>
    <w:rsid w:val="00927DAC"/>
    <w:rsid w:val="009325EC"/>
    <w:rsid w:val="00936A8F"/>
    <w:rsid w:val="0094029C"/>
    <w:rsid w:val="00940DF9"/>
    <w:rsid w:val="00945A6B"/>
    <w:rsid w:val="00945DB8"/>
    <w:rsid w:val="009461FD"/>
    <w:rsid w:val="00947A84"/>
    <w:rsid w:val="00952E4D"/>
    <w:rsid w:val="00952F61"/>
    <w:rsid w:val="00953E76"/>
    <w:rsid w:val="00954B5C"/>
    <w:rsid w:val="009556AD"/>
    <w:rsid w:val="00956357"/>
    <w:rsid w:val="00962B74"/>
    <w:rsid w:val="00964944"/>
    <w:rsid w:val="009662FA"/>
    <w:rsid w:val="00972FBD"/>
    <w:rsid w:val="009743FA"/>
    <w:rsid w:val="00977198"/>
    <w:rsid w:val="009812FC"/>
    <w:rsid w:val="00981C6C"/>
    <w:rsid w:val="00985D91"/>
    <w:rsid w:val="00986CA8"/>
    <w:rsid w:val="00993256"/>
    <w:rsid w:val="00993620"/>
    <w:rsid w:val="009A1B25"/>
    <w:rsid w:val="009A2A14"/>
    <w:rsid w:val="009A4F84"/>
    <w:rsid w:val="009B174E"/>
    <w:rsid w:val="009B190D"/>
    <w:rsid w:val="009B4939"/>
    <w:rsid w:val="009C0A6D"/>
    <w:rsid w:val="009C259F"/>
    <w:rsid w:val="009C2D3E"/>
    <w:rsid w:val="009C5C2D"/>
    <w:rsid w:val="009C718D"/>
    <w:rsid w:val="009D0216"/>
    <w:rsid w:val="009D11B2"/>
    <w:rsid w:val="009D2638"/>
    <w:rsid w:val="009D3242"/>
    <w:rsid w:val="009D4D1B"/>
    <w:rsid w:val="009D60EC"/>
    <w:rsid w:val="009E0E0F"/>
    <w:rsid w:val="009E1A87"/>
    <w:rsid w:val="009E1BDA"/>
    <w:rsid w:val="009E362E"/>
    <w:rsid w:val="009E3E02"/>
    <w:rsid w:val="009E4C9C"/>
    <w:rsid w:val="009F1F04"/>
    <w:rsid w:val="009F5809"/>
    <w:rsid w:val="009F5B85"/>
    <w:rsid w:val="00A00A4A"/>
    <w:rsid w:val="00A013CA"/>
    <w:rsid w:val="00A050B2"/>
    <w:rsid w:val="00A13D1D"/>
    <w:rsid w:val="00A1744E"/>
    <w:rsid w:val="00A175B2"/>
    <w:rsid w:val="00A2138B"/>
    <w:rsid w:val="00A2214F"/>
    <w:rsid w:val="00A232BD"/>
    <w:rsid w:val="00A23E82"/>
    <w:rsid w:val="00A24714"/>
    <w:rsid w:val="00A262B1"/>
    <w:rsid w:val="00A3025C"/>
    <w:rsid w:val="00A310AD"/>
    <w:rsid w:val="00A32E39"/>
    <w:rsid w:val="00A4241E"/>
    <w:rsid w:val="00A42A5A"/>
    <w:rsid w:val="00A44F0F"/>
    <w:rsid w:val="00A45C8C"/>
    <w:rsid w:val="00A5207B"/>
    <w:rsid w:val="00A54246"/>
    <w:rsid w:val="00A55D00"/>
    <w:rsid w:val="00A5727B"/>
    <w:rsid w:val="00A5757E"/>
    <w:rsid w:val="00A628E4"/>
    <w:rsid w:val="00A63500"/>
    <w:rsid w:val="00A64419"/>
    <w:rsid w:val="00A65B8F"/>
    <w:rsid w:val="00A72AA8"/>
    <w:rsid w:val="00A73C68"/>
    <w:rsid w:val="00A83BB2"/>
    <w:rsid w:val="00A84798"/>
    <w:rsid w:val="00A849C2"/>
    <w:rsid w:val="00A8513E"/>
    <w:rsid w:val="00A867F0"/>
    <w:rsid w:val="00A95B1F"/>
    <w:rsid w:val="00A973C0"/>
    <w:rsid w:val="00AA0C8D"/>
    <w:rsid w:val="00AA1135"/>
    <w:rsid w:val="00AA18A5"/>
    <w:rsid w:val="00AA1AAD"/>
    <w:rsid w:val="00AA2F18"/>
    <w:rsid w:val="00AA3870"/>
    <w:rsid w:val="00AA4C96"/>
    <w:rsid w:val="00AA4D89"/>
    <w:rsid w:val="00AA57E4"/>
    <w:rsid w:val="00AA5F53"/>
    <w:rsid w:val="00AA69AE"/>
    <w:rsid w:val="00AA7BC1"/>
    <w:rsid w:val="00AB1AD4"/>
    <w:rsid w:val="00AB2CEF"/>
    <w:rsid w:val="00AB500B"/>
    <w:rsid w:val="00AB593E"/>
    <w:rsid w:val="00AB6EFC"/>
    <w:rsid w:val="00AB77A7"/>
    <w:rsid w:val="00AB7BED"/>
    <w:rsid w:val="00AC2072"/>
    <w:rsid w:val="00AD0FD5"/>
    <w:rsid w:val="00AD3A14"/>
    <w:rsid w:val="00AD631C"/>
    <w:rsid w:val="00AD6795"/>
    <w:rsid w:val="00AD7CF8"/>
    <w:rsid w:val="00AE0F0E"/>
    <w:rsid w:val="00AE1AA7"/>
    <w:rsid w:val="00AF0A53"/>
    <w:rsid w:val="00AF28E0"/>
    <w:rsid w:val="00AF2FFB"/>
    <w:rsid w:val="00AF416A"/>
    <w:rsid w:val="00AF472C"/>
    <w:rsid w:val="00AF6E6A"/>
    <w:rsid w:val="00B00382"/>
    <w:rsid w:val="00B03CDB"/>
    <w:rsid w:val="00B03D2F"/>
    <w:rsid w:val="00B068DC"/>
    <w:rsid w:val="00B10145"/>
    <w:rsid w:val="00B11290"/>
    <w:rsid w:val="00B11CA9"/>
    <w:rsid w:val="00B17825"/>
    <w:rsid w:val="00B17E90"/>
    <w:rsid w:val="00B20104"/>
    <w:rsid w:val="00B223D3"/>
    <w:rsid w:val="00B235F8"/>
    <w:rsid w:val="00B2368A"/>
    <w:rsid w:val="00B27ACE"/>
    <w:rsid w:val="00B326AD"/>
    <w:rsid w:val="00B33F90"/>
    <w:rsid w:val="00B36347"/>
    <w:rsid w:val="00B3769D"/>
    <w:rsid w:val="00B37BE1"/>
    <w:rsid w:val="00B42B50"/>
    <w:rsid w:val="00B42C4D"/>
    <w:rsid w:val="00B42EAB"/>
    <w:rsid w:val="00B463E3"/>
    <w:rsid w:val="00B46E5E"/>
    <w:rsid w:val="00B601D7"/>
    <w:rsid w:val="00B6093D"/>
    <w:rsid w:val="00B613D4"/>
    <w:rsid w:val="00B65F92"/>
    <w:rsid w:val="00B6604F"/>
    <w:rsid w:val="00B71F77"/>
    <w:rsid w:val="00B80AB8"/>
    <w:rsid w:val="00B80B77"/>
    <w:rsid w:val="00B80DAD"/>
    <w:rsid w:val="00B828B6"/>
    <w:rsid w:val="00B83812"/>
    <w:rsid w:val="00B838B9"/>
    <w:rsid w:val="00B86EB0"/>
    <w:rsid w:val="00B900C2"/>
    <w:rsid w:val="00B90417"/>
    <w:rsid w:val="00B94C81"/>
    <w:rsid w:val="00B9734D"/>
    <w:rsid w:val="00BA5E9B"/>
    <w:rsid w:val="00BA6B73"/>
    <w:rsid w:val="00BB2C1D"/>
    <w:rsid w:val="00BB2CE4"/>
    <w:rsid w:val="00BB3261"/>
    <w:rsid w:val="00BB3F13"/>
    <w:rsid w:val="00BC0F85"/>
    <w:rsid w:val="00BC50E8"/>
    <w:rsid w:val="00BC576F"/>
    <w:rsid w:val="00BC736E"/>
    <w:rsid w:val="00BD159B"/>
    <w:rsid w:val="00BD3FA2"/>
    <w:rsid w:val="00BD4767"/>
    <w:rsid w:val="00BD536A"/>
    <w:rsid w:val="00BE11F8"/>
    <w:rsid w:val="00BE2362"/>
    <w:rsid w:val="00BE23AC"/>
    <w:rsid w:val="00BE7AB9"/>
    <w:rsid w:val="00BF16DA"/>
    <w:rsid w:val="00BF1F8F"/>
    <w:rsid w:val="00BF2FF5"/>
    <w:rsid w:val="00BF3C82"/>
    <w:rsid w:val="00BF47AC"/>
    <w:rsid w:val="00BF7F2E"/>
    <w:rsid w:val="00C003BC"/>
    <w:rsid w:val="00C024BE"/>
    <w:rsid w:val="00C02963"/>
    <w:rsid w:val="00C07AED"/>
    <w:rsid w:val="00C10A2B"/>
    <w:rsid w:val="00C120E4"/>
    <w:rsid w:val="00C15187"/>
    <w:rsid w:val="00C15970"/>
    <w:rsid w:val="00C1603D"/>
    <w:rsid w:val="00C237FC"/>
    <w:rsid w:val="00C2480F"/>
    <w:rsid w:val="00C310B3"/>
    <w:rsid w:val="00C322F6"/>
    <w:rsid w:val="00C33604"/>
    <w:rsid w:val="00C33A63"/>
    <w:rsid w:val="00C3665E"/>
    <w:rsid w:val="00C37468"/>
    <w:rsid w:val="00C4436C"/>
    <w:rsid w:val="00C459F2"/>
    <w:rsid w:val="00C477FD"/>
    <w:rsid w:val="00C5195F"/>
    <w:rsid w:val="00C52400"/>
    <w:rsid w:val="00C5514E"/>
    <w:rsid w:val="00C56D31"/>
    <w:rsid w:val="00C57AAE"/>
    <w:rsid w:val="00C63DE4"/>
    <w:rsid w:val="00C66AD1"/>
    <w:rsid w:val="00C71647"/>
    <w:rsid w:val="00C732F1"/>
    <w:rsid w:val="00C74ADB"/>
    <w:rsid w:val="00C750CC"/>
    <w:rsid w:val="00C76F84"/>
    <w:rsid w:val="00C80B75"/>
    <w:rsid w:val="00C82EFF"/>
    <w:rsid w:val="00C838A5"/>
    <w:rsid w:val="00C8519B"/>
    <w:rsid w:val="00C8575C"/>
    <w:rsid w:val="00C866E1"/>
    <w:rsid w:val="00C867F3"/>
    <w:rsid w:val="00C900DC"/>
    <w:rsid w:val="00C90923"/>
    <w:rsid w:val="00C92FA5"/>
    <w:rsid w:val="00C95962"/>
    <w:rsid w:val="00C95B34"/>
    <w:rsid w:val="00C97C54"/>
    <w:rsid w:val="00CA44B6"/>
    <w:rsid w:val="00CA5461"/>
    <w:rsid w:val="00CA5822"/>
    <w:rsid w:val="00CB06CC"/>
    <w:rsid w:val="00CB1F60"/>
    <w:rsid w:val="00CB444B"/>
    <w:rsid w:val="00CB4774"/>
    <w:rsid w:val="00CB7B13"/>
    <w:rsid w:val="00CC2E34"/>
    <w:rsid w:val="00CC660B"/>
    <w:rsid w:val="00CC76E0"/>
    <w:rsid w:val="00CD0D5E"/>
    <w:rsid w:val="00CD3BFD"/>
    <w:rsid w:val="00CD4F3C"/>
    <w:rsid w:val="00CE1016"/>
    <w:rsid w:val="00CE2633"/>
    <w:rsid w:val="00CE4201"/>
    <w:rsid w:val="00CE7A30"/>
    <w:rsid w:val="00CF2D09"/>
    <w:rsid w:val="00CF3248"/>
    <w:rsid w:val="00CF5353"/>
    <w:rsid w:val="00CF5B29"/>
    <w:rsid w:val="00CF7073"/>
    <w:rsid w:val="00CF7E2D"/>
    <w:rsid w:val="00D00F10"/>
    <w:rsid w:val="00D02CCA"/>
    <w:rsid w:val="00D038EE"/>
    <w:rsid w:val="00D040FA"/>
    <w:rsid w:val="00D04CA7"/>
    <w:rsid w:val="00D05035"/>
    <w:rsid w:val="00D10D26"/>
    <w:rsid w:val="00D1154D"/>
    <w:rsid w:val="00D11D00"/>
    <w:rsid w:val="00D126F3"/>
    <w:rsid w:val="00D1283A"/>
    <w:rsid w:val="00D13ACD"/>
    <w:rsid w:val="00D16308"/>
    <w:rsid w:val="00D20F58"/>
    <w:rsid w:val="00D2302A"/>
    <w:rsid w:val="00D24215"/>
    <w:rsid w:val="00D248F1"/>
    <w:rsid w:val="00D26747"/>
    <w:rsid w:val="00D2725E"/>
    <w:rsid w:val="00D355FF"/>
    <w:rsid w:val="00D35B4A"/>
    <w:rsid w:val="00D36FB0"/>
    <w:rsid w:val="00D41F0B"/>
    <w:rsid w:val="00D42387"/>
    <w:rsid w:val="00D469CF"/>
    <w:rsid w:val="00D4703C"/>
    <w:rsid w:val="00D47392"/>
    <w:rsid w:val="00D47492"/>
    <w:rsid w:val="00D50850"/>
    <w:rsid w:val="00D50EE3"/>
    <w:rsid w:val="00D519CA"/>
    <w:rsid w:val="00D522B9"/>
    <w:rsid w:val="00D5367B"/>
    <w:rsid w:val="00D645F3"/>
    <w:rsid w:val="00D64E49"/>
    <w:rsid w:val="00D67D08"/>
    <w:rsid w:val="00D70057"/>
    <w:rsid w:val="00D71CAB"/>
    <w:rsid w:val="00D7242A"/>
    <w:rsid w:val="00D733A8"/>
    <w:rsid w:val="00D73FA9"/>
    <w:rsid w:val="00D74466"/>
    <w:rsid w:val="00D75020"/>
    <w:rsid w:val="00D7736B"/>
    <w:rsid w:val="00D77C02"/>
    <w:rsid w:val="00D8306A"/>
    <w:rsid w:val="00D83C01"/>
    <w:rsid w:val="00D862A5"/>
    <w:rsid w:val="00D87A3E"/>
    <w:rsid w:val="00D87F73"/>
    <w:rsid w:val="00D92475"/>
    <w:rsid w:val="00D9260C"/>
    <w:rsid w:val="00D94A77"/>
    <w:rsid w:val="00D95499"/>
    <w:rsid w:val="00DA07E8"/>
    <w:rsid w:val="00DA1ADD"/>
    <w:rsid w:val="00DA313C"/>
    <w:rsid w:val="00DA3D00"/>
    <w:rsid w:val="00DA41B8"/>
    <w:rsid w:val="00DA44FF"/>
    <w:rsid w:val="00DA675D"/>
    <w:rsid w:val="00DB282E"/>
    <w:rsid w:val="00DB2D93"/>
    <w:rsid w:val="00DB4263"/>
    <w:rsid w:val="00DB45B2"/>
    <w:rsid w:val="00DB5A7A"/>
    <w:rsid w:val="00DB72F1"/>
    <w:rsid w:val="00DB7B37"/>
    <w:rsid w:val="00DB7E2E"/>
    <w:rsid w:val="00DC26C6"/>
    <w:rsid w:val="00DC2AAF"/>
    <w:rsid w:val="00DC4C7C"/>
    <w:rsid w:val="00DD1D55"/>
    <w:rsid w:val="00DD732C"/>
    <w:rsid w:val="00DE3E68"/>
    <w:rsid w:val="00DE5DA4"/>
    <w:rsid w:val="00DE6BAB"/>
    <w:rsid w:val="00DF0707"/>
    <w:rsid w:val="00DF2D18"/>
    <w:rsid w:val="00DF33A7"/>
    <w:rsid w:val="00DF3B33"/>
    <w:rsid w:val="00DF6706"/>
    <w:rsid w:val="00DF7529"/>
    <w:rsid w:val="00E034EE"/>
    <w:rsid w:val="00E109FA"/>
    <w:rsid w:val="00E13168"/>
    <w:rsid w:val="00E1404C"/>
    <w:rsid w:val="00E1482D"/>
    <w:rsid w:val="00E1572A"/>
    <w:rsid w:val="00E16871"/>
    <w:rsid w:val="00E23F2B"/>
    <w:rsid w:val="00E263D7"/>
    <w:rsid w:val="00E27F80"/>
    <w:rsid w:val="00E31AF2"/>
    <w:rsid w:val="00E31D33"/>
    <w:rsid w:val="00E34725"/>
    <w:rsid w:val="00E351EB"/>
    <w:rsid w:val="00E3564E"/>
    <w:rsid w:val="00E37178"/>
    <w:rsid w:val="00E44C74"/>
    <w:rsid w:val="00E4705B"/>
    <w:rsid w:val="00E473BD"/>
    <w:rsid w:val="00E513EF"/>
    <w:rsid w:val="00E51D44"/>
    <w:rsid w:val="00E52994"/>
    <w:rsid w:val="00E54C57"/>
    <w:rsid w:val="00E54E0A"/>
    <w:rsid w:val="00E5531A"/>
    <w:rsid w:val="00E55CEF"/>
    <w:rsid w:val="00E56E72"/>
    <w:rsid w:val="00E6485E"/>
    <w:rsid w:val="00E6654B"/>
    <w:rsid w:val="00E67BEA"/>
    <w:rsid w:val="00E72C49"/>
    <w:rsid w:val="00E73861"/>
    <w:rsid w:val="00E73C49"/>
    <w:rsid w:val="00E75E4E"/>
    <w:rsid w:val="00E775CE"/>
    <w:rsid w:val="00E804A6"/>
    <w:rsid w:val="00E815AD"/>
    <w:rsid w:val="00E8432A"/>
    <w:rsid w:val="00E84C4F"/>
    <w:rsid w:val="00E90842"/>
    <w:rsid w:val="00E91592"/>
    <w:rsid w:val="00E91A99"/>
    <w:rsid w:val="00E91B74"/>
    <w:rsid w:val="00E94A9B"/>
    <w:rsid w:val="00E95E58"/>
    <w:rsid w:val="00E961F3"/>
    <w:rsid w:val="00E96854"/>
    <w:rsid w:val="00EA20FD"/>
    <w:rsid w:val="00EA33AF"/>
    <w:rsid w:val="00EA519C"/>
    <w:rsid w:val="00EB58A2"/>
    <w:rsid w:val="00EC3443"/>
    <w:rsid w:val="00EC5651"/>
    <w:rsid w:val="00EC7277"/>
    <w:rsid w:val="00EC7BA0"/>
    <w:rsid w:val="00ED2343"/>
    <w:rsid w:val="00ED5AF4"/>
    <w:rsid w:val="00EE0155"/>
    <w:rsid w:val="00EE0D22"/>
    <w:rsid w:val="00EE1D9C"/>
    <w:rsid w:val="00EE26D1"/>
    <w:rsid w:val="00EE42E8"/>
    <w:rsid w:val="00EE4500"/>
    <w:rsid w:val="00EE4F42"/>
    <w:rsid w:val="00EE66FC"/>
    <w:rsid w:val="00EF098C"/>
    <w:rsid w:val="00EF69E0"/>
    <w:rsid w:val="00F01EBC"/>
    <w:rsid w:val="00F03D48"/>
    <w:rsid w:val="00F051BB"/>
    <w:rsid w:val="00F05E08"/>
    <w:rsid w:val="00F06C7E"/>
    <w:rsid w:val="00F07C5A"/>
    <w:rsid w:val="00F112A3"/>
    <w:rsid w:val="00F126AC"/>
    <w:rsid w:val="00F20780"/>
    <w:rsid w:val="00F21C47"/>
    <w:rsid w:val="00F22197"/>
    <w:rsid w:val="00F23499"/>
    <w:rsid w:val="00F256EB"/>
    <w:rsid w:val="00F25EF4"/>
    <w:rsid w:val="00F346D0"/>
    <w:rsid w:val="00F417EC"/>
    <w:rsid w:val="00F42DC6"/>
    <w:rsid w:val="00F44A36"/>
    <w:rsid w:val="00F44BA3"/>
    <w:rsid w:val="00F45CFD"/>
    <w:rsid w:val="00F501FA"/>
    <w:rsid w:val="00F502E6"/>
    <w:rsid w:val="00F54706"/>
    <w:rsid w:val="00F576D5"/>
    <w:rsid w:val="00F603B2"/>
    <w:rsid w:val="00F664CA"/>
    <w:rsid w:val="00F673D0"/>
    <w:rsid w:val="00F67D24"/>
    <w:rsid w:val="00F70295"/>
    <w:rsid w:val="00F72DF9"/>
    <w:rsid w:val="00F737FE"/>
    <w:rsid w:val="00F7614A"/>
    <w:rsid w:val="00F81A90"/>
    <w:rsid w:val="00F82939"/>
    <w:rsid w:val="00F8405A"/>
    <w:rsid w:val="00F862D7"/>
    <w:rsid w:val="00F8688F"/>
    <w:rsid w:val="00F91AE1"/>
    <w:rsid w:val="00F92050"/>
    <w:rsid w:val="00F92F38"/>
    <w:rsid w:val="00F93185"/>
    <w:rsid w:val="00F939C7"/>
    <w:rsid w:val="00F9435F"/>
    <w:rsid w:val="00F963C7"/>
    <w:rsid w:val="00F963DC"/>
    <w:rsid w:val="00FA06DB"/>
    <w:rsid w:val="00FA0E8C"/>
    <w:rsid w:val="00FA268E"/>
    <w:rsid w:val="00FA4C0B"/>
    <w:rsid w:val="00FA5F9A"/>
    <w:rsid w:val="00FB1391"/>
    <w:rsid w:val="00FB246D"/>
    <w:rsid w:val="00FB2C75"/>
    <w:rsid w:val="00FB60E1"/>
    <w:rsid w:val="00FC1381"/>
    <w:rsid w:val="00FC57B5"/>
    <w:rsid w:val="00FC72B4"/>
    <w:rsid w:val="00FC7B44"/>
    <w:rsid w:val="00FD0E60"/>
    <w:rsid w:val="00FD263B"/>
    <w:rsid w:val="00FD48F0"/>
    <w:rsid w:val="00FE2E8A"/>
    <w:rsid w:val="00FE301D"/>
    <w:rsid w:val="00FE34AE"/>
    <w:rsid w:val="00FE3CFC"/>
    <w:rsid w:val="00FE62F8"/>
    <w:rsid w:val="00FF1CCA"/>
    <w:rsid w:val="00FF50CB"/>
    <w:rsid w:val="00FF6ADB"/>
    <w:rsid w:val="00FF7BAD"/>
    <w:rsid w:val="01126C37"/>
    <w:rsid w:val="0114696D"/>
    <w:rsid w:val="01483DCC"/>
    <w:rsid w:val="01512BA2"/>
    <w:rsid w:val="015A34C5"/>
    <w:rsid w:val="015D24D2"/>
    <w:rsid w:val="01922F11"/>
    <w:rsid w:val="01E46D89"/>
    <w:rsid w:val="01EF28E7"/>
    <w:rsid w:val="0200793B"/>
    <w:rsid w:val="02353A89"/>
    <w:rsid w:val="023C4CE1"/>
    <w:rsid w:val="024613CC"/>
    <w:rsid w:val="026132A3"/>
    <w:rsid w:val="02AC193A"/>
    <w:rsid w:val="03994D7A"/>
    <w:rsid w:val="03A17F15"/>
    <w:rsid w:val="03CA5B82"/>
    <w:rsid w:val="04294F58"/>
    <w:rsid w:val="043F06D3"/>
    <w:rsid w:val="04774CD2"/>
    <w:rsid w:val="0482097A"/>
    <w:rsid w:val="04C2712A"/>
    <w:rsid w:val="05062520"/>
    <w:rsid w:val="05151950"/>
    <w:rsid w:val="0575419C"/>
    <w:rsid w:val="0599432F"/>
    <w:rsid w:val="05A91335"/>
    <w:rsid w:val="05AA2BAB"/>
    <w:rsid w:val="05E92E96"/>
    <w:rsid w:val="05F31C91"/>
    <w:rsid w:val="0627193B"/>
    <w:rsid w:val="064A4D92"/>
    <w:rsid w:val="06B01054"/>
    <w:rsid w:val="06C21663"/>
    <w:rsid w:val="06CC1E1D"/>
    <w:rsid w:val="071718C8"/>
    <w:rsid w:val="0745062A"/>
    <w:rsid w:val="07667DD7"/>
    <w:rsid w:val="07AD7B67"/>
    <w:rsid w:val="080812F8"/>
    <w:rsid w:val="080B3D2B"/>
    <w:rsid w:val="081C5CA3"/>
    <w:rsid w:val="082902DC"/>
    <w:rsid w:val="083B7789"/>
    <w:rsid w:val="08730E67"/>
    <w:rsid w:val="08733DE1"/>
    <w:rsid w:val="0904240B"/>
    <w:rsid w:val="09400355"/>
    <w:rsid w:val="099214E4"/>
    <w:rsid w:val="099C26EB"/>
    <w:rsid w:val="099F2C6A"/>
    <w:rsid w:val="09AB78FB"/>
    <w:rsid w:val="09B53C84"/>
    <w:rsid w:val="09E6093A"/>
    <w:rsid w:val="0A254F86"/>
    <w:rsid w:val="0A6F2047"/>
    <w:rsid w:val="0AAB0544"/>
    <w:rsid w:val="0AAB0B9D"/>
    <w:rsid w:val="0AFF592D"/>
    <w:rsid w:val="0B5E075A"/>
    <w:rsid w:val="0BCA3494"/>
    <w:rsid w:val="0BDE36B5"/>
    <w:rsid w:val="0BF15595"/>
    <w:rsid w:val="0C1F5B22"/>
    <w:rsid w:val="0C2A28BF"/>
    <w:rsid w:val="0C346B5F"/>
    <w:rsid w:val="0C4E04D2"/>
    <w:rsid w:val="0C4F7119"/>
    <w:rsid w:val="0C9B6BDE"/>
    <w:rsid w:val="0CA73E26"/>
    <w:rsid w:val="0CCE2B10"/>
    <w:rsid w:val="0D100583"/>
    <w:rsid w:val="0D153BE5"/>
    <w:rsid w:val="0D29128D"/>
    <w:rsid w:val="0D426D21"/>
    <w:rsid w:val="0D7E24BB"/>
    <w:rsid w:val="0DAE6DA5"/>
    <w:rsid w:val="0DDE0BC9"/>
    <w:rsid w:val="0DE14A97"/>
    <w:rsid w:val="0E027829"/>
    <w:rsid w:val="0E4017EB"/>
    <w:rsid w:val="0E5E7845"/>
    <w:rsid w:val="0E794F01"/>
    <w:rsid w:val="0EB07AE4"/>
    <w:rsid w:val="0F0F5CF4"/>
    <w:rsid w:val="0F317FF3"/>
    <w:rsid w:val="0FA12456"/>
    <w:rsid w:val="0FBD50BE"/>
    <w:rsid w:val="0FE23577"/>
    <w:rsid w:val="10136C77"/>
    <w:rsid w:val="1034712E"/>
    <w:rsid w:val="10353B48"/>
    <w:rsid w:val="105D54AC"/>
    <w:rsid w:val="108A31F2"/>
    <w:rsid w:val="10A92C1E"/>
    <w:rsid w:val="10D80E88"/>
    <w:rsid w:val="10E24668"/>
    <w:rsid w:val="110E191A"/>
    <w:rsid w:val="116209AC"/>
    <w:rsid w:val="117F262B"/>
    <w:rsid w:val="118E3BB8"/>
    <w:rsid w:val="11952213"/>
    <w:rsid w:val="11A15DB9"/>
    <w:rsid w:val="11B63E74"/>
    <w:rsid w:val="11DE096B"/>
    <w:rsid w:val="11E435FF"/>
    <w:rsid w:val="11F31E3F"/>
    <w:rsid w:val="12025BB5"/>
    <w:rsid w:val="1232153D"/>
    <w:rsid w:val="125113E8"/>
    <w:rsid w:val="12561586"/>
    <w:rsid w:val="125B55DE"/>
    <w:rsid w:val="126D693D"/>
    <w:rsid w:val="12831904"/>
    <w:rsid w:val="12D31808"/>
    <w:rsid w:val="12FE0E52"/>
    <w:rsid w:val="13064B66"/>
    <w:rsid w:val="13537687"/>
    <w:rsid w:val="136D7C9D"/>
    <w:rsid w:val="13D446BA"/>
    <w:rsid w:val="13F51110"/>
    <w:rsid w:val="141259D8"/>
    <w:rsid w:val="146503FF"/>
    <w:rsid w:val="14650475"/>
    <w:rsid w:val="147D0BBB"/>
    <w:rsid w:val="14885C9A"/>
    <w:rsid w:val="14D25167"/>
    <w:rsid w:val="14E1257D"/>
    <w:rsid w:val="1529352D"/>
    <w:rsid w:val="153E7595"/>
    <w:rsid w:val="154A4BB2"/>
    <w:rsid w:val="15591C75"/>
    <w:rsid w:val="158845EB"/>
    <w:rsid w:val="159B13C1"/>
    <w:rsid w:val="15B17473"/>
    <w:rsid w:val="15DE18EA"/>
    <w:rsid w:val="163877BB"/>
    <w:rsid w:val="16A82624"/>
    <w:rsid w:val="16C201FE"/>
    <w:rsid w:val="16D276A1"/>
    <w:rsid w:val="16DC72C5"/>
    <w:rsid w:val="16EB2510"/>
    <w:rsid w:val="16EB6330"/>
    <w:rsid w:val="17AF7F33"/>
    <w:rsid w:val="17D22D06"/>
    <w:rsid w:val="17FD6265"/>
    <w:rsid w:val="180C6BE2"/>
    <w:rsid w:val="181A3AAB"/>
    <w:rsid w:val="18221F62"/>
    <w:rsid w:val="18910433"/>
    <w:rsid w:val="190E0958"/>
    <w:rsid w:val="193A771B"/>
    <w:rsid w:val="193E0799"/>
    <w:rsid w:val="19DA10EA"/>
    <w:rsid w:val="19E92004"/>
    <w:rsid w:val="1A0B0F99"/>
    <w:rsid w:val="1A181CCF"/>
    <w:rsid w:val="1A5E43B2"/>
    <w:rsid w:val="1A911AB2"/>
    <w:rsid w:val="1A981B47"/>
    <w:rsid w:val="1AD05207"/>
    <w:rsid w:val="1AFB42F4"/>
    <w:rsid w:val="1B0F3650"/>
    <w:rsid w:val="1B2B3823"/>
    <w:rsid w:val="1B5747FB"/>
    <w:rsid w:val="1B59213E"/>
    <w:rsid w:val="1BE94565"/>
    <w:rsid w:val="1BFE3AC5"/>
    <w:rsid w:val="1C4A33C9"/>
    <w:rsid w:val="1CA56039"/>
    <w:rsid w:val="1CA65FD5"/>
    <w:rsid w:val="1CAE2367"/>
    <w:rsid w:val="1CB504C5"/>
    <w:rsid w:val="1CB6711D"/>
    <w:rsid w:val="1CD56023"/>
    <w:rsid w:val="1D440BC3"/>
    <w:rsid w:val="1D4F0C54"/>
    <w:rsid w:val="1D4F1B67"/>
    <w:rsid w:val="1D4F6346"/>
    <w:rsid w:val="1D873D82"/>
    <w:rsid w:val="1DD51824"/>
    <w:rsid w:val="1E171E3D"/>
    <w:rsid w:val="1E3D4617"/>
    <w:rsid w:val="1E612BFC"/>
    <w:rsid w:val="1EA05AFE"/>
    <w:rsid w:val="1EA164D8"/>
    <w:rsid w:val="1EE0045A"/>
    <w:rsid w:val="1F0253A3"/>
    <w:rsid w:val="1F3102C6"/>
    <w:rsid w:val="1F64342A"/>
    <w:rsid w:val="1F9A7970"/>
    <w:rsid w:val="1FDA0C51"/>
    <w:rsid w:val="200C0A9D"/>
    <w:rsid w:val="20182BD0"/>
    <w:rsid w:val="202672E2"/>
    <w:rsid w:val="205A5992"/>
    <w:rsid w:val="20A353C3"/>
    <w:rsid w:val="20C462AC"/>
    <w:rsid w:val="20D43BB1"/>
    <w:rsid w:val="2111567D"/>
    <w:rsid w:val="211D132E"/>
    <w:rsid w:val="21735489"/>
    <w:rsid w:val="21992591"/>
    <w:rsid w:val="21B47AE0"/>
    <w:rsid w:val="21C725A9"/>
    <w:rsid w:val="21C94D76"/>
    <w:rsid w:val="21CE7886"/>
    <w:rsid w:val="222241E4"/>
    <w:rsid w:val="22593A42"/>
    <w:rsid w:val="2274684A"/>
    <w:rsid w:val="227834BA"/>
    <w:rsid w:val="22811038"/>
    <w:rsid w:val="22844C65"/>
    <w:rsid w:val="22852193"/>
    <w:rsid w:val="22B46B14"/>
    <w:rsid w:val="22BA585A"/>
    <w:rsid w:val="22D055D9"/>
    <w:rsid w:val="22D80D6D"/>
    <w:rsid w:val="230D68E9"/>
    <w:rsid w:val="23700025"/>
    <w:rsid w:val="23753A22"/>
    <w:rsid w:val="23CC36C6"/>
    <w:rsid w:val="240E19B7"/>
    <w:rsid w:val="241216D2"/>
    <w:rsid w:val="24332590"/>
    <w:rsid w:val="24503B18"/>
    <w:rsid w:val="24934C92"/>
    <w:rsid w:val="24B6415E"/>
    <w:rsid w:val="25064C16"/>
    <w:rsid w:val="25342E34"/>
    <w:rsid w:val="253D7166"/>
    <w:rsid w:val="25751DA9"/>
    <w:rsid w:val="257B0F63"/>
    <w:rsid w:val="257F09F3"/>
    <w:rsid w:val="25B3517A"/>
    <w:rsid w:val="25DD4E59"/>
    <w:rsid w:val="25F31CBD"/>
    <w:rsid w:val="263A7940"/>
    <w:rsid w:val="2678073B"/>
    <w:rsid w:val="26B02E2F"/>
    <w:rsid w:val="26B20467"/>
    <w:rsid w:val="26BE19C7"/>
    <w:rsid w:val="27000A94"/>
    <w:rsid w:val="270216C1"/>
    <w:rsid w:val="271F313E"/>
    <w:rsid w:val="272555CB"/>
    <w:rsid w:val="273F4323"/>
    <w:rsid w:val="27541561"/>
    <w:rsid w:val="2769292B"/>
    <w:rsid w:val="27693709"/>
    <w:rsid w:val="277A0D33"/>
    <w:rsid w:val="27D84B88"/>
    <w:rsid w:val="280A63DC"/>
    <w:rsid w:val="282D589E"/>
    <w:rsid w:val="28456471"/>
    <w:rsid w:val="28BC68C6"/>
    <w:rsid w:val="28DB0C32"/>
    <w:rsid w:val="295B455C"/>
    <w:rsid w:val="29AA7296"/>
    <w:rsid w:val="29AF561F"/>
    <w:rsid w:val="2A5E32CD"/>
    <w:rsid w:val="2A662182"/>
    <w:rsid w:val="2A7858A0"/>
    <w:rsid w:val="2A8E448A"/>
    <w:rsid w:val="2A926C54"/>
    <w:rsid w:val="2B2A373E"/>
    <w:rsid w:val="2B3D759B"/>
    <w:rsid w:val="2C3265F8"/>
    <w:rsid w:val="2C4A14FA"/>
    <w:rsid w:val="2C580480"/>
    <w:rsid w:val="2C736EE7"/>
    <w:rsid w:val="2C9254B0"/>
    <w:rsid w:val="2C98797D"/>
    <w:rsid w:val="2C9C2AD4"/>
    <w:rsid w:val="2CB61F05"/>
    <w:rsid w:val="2D4F028B"/>
    <w:rsid w:val="2D994892"/>
    <w:rsid w:val="2DA6303F"/>
    <w:rsid w:val="2E6E6091"/>
    <w:rsid w:val="2E6E7146"/>
    <w:rsid w:val="2E7F0850"/>
    <w:rsid w:val="2ED82233"/>
    <w:rsid w:val="2F275AF8"/>
    <w:rsid w:val="2F78665F"/>
    <w:rsid w:val="2FD878D3"/>
    <w:rsid w:val="30233226"/>
    <w:rsid w:val="30AA094A"/>
    <w:rsid w:val="30AB6B41"/>
    <w:rsid w:val="3137663F"/>
    <w:rsid w:val="313E49D0"/>
    <w:rsid w:val="31584DCA"/>
    <w:rsid w:val="31B85FC1"/>
    <w:rsid w:val="31C003CA"/>
    <w:rsid w:val="31C26954"/>
    <w:rsid w:val="322272D6"/>
    <w:rsid w:val="32A970B0"/>
    <w:rsid w:val="32F05129"/>
    <w:rsid w:val="334F6BAE"/>
    <w:rsid w:val="336D0055"/>
    <w:rsid w:val="33701274"/>
    <w:rsid w:val="3376056D"/>
    <w:rsid w:val="33CF5CC9"/>
    <w:rsid w:val="343104A9"/>
    <w:rsid w:val="3482300B"/>
    <w:rsid w:val="34B42C08"/>
    <w:rsid w:val="34C97DFE"/>
    <w:rsid w:val="35203645"/>
    <w:rsid w:val="352B46F4"/>
    <w:rsid w:val="35A5216E"/>
    <w:rsid w:val="35AD7627"/>
    <w:rsid w:val="362D5A56"/>
    <w:rsid w:val="363D1A16"/>
    <w:rsid w:val="3644373F"/>
    <w:rsid w:val="365E4A8E"/>
    <w:rsid w:val="36807DE8"/>
    <w:rsid w:val="368F71CD"/>
    <w:rsid w:val="36AF7036"/>
    <w:rsid w:val="36D0698E"/>
    <w:rsid w:val="36D82112"/>
    <w:rsid w:val="36E62230"/>
    <w:rsid w:val="370C23B7"/>
    <w:rsid w:val="371F1FBD"/>
    <w:rsid w:val="37733EE8"/>
    <w:rsid w:val="3780481E"/>
    <w:rsid w:val="37CD3840"/>
    <w:rsid w:val="37DB7ED5"/>
    <w:rsid w:val="37EC40CA"/>
    <w:rsid w:val="380D00E1"/>
    <w:rsid w:val="3837515E"/>
    <w:rsid w:val="386023F1"/>
    <w:rsid w:val="388A34DF"/>
    <w:rsid w:val="38AB4B92"/>
    <w:rsid w:val="38AE308F"/>
    <w:rsid w:val="38EC7CF6"/>
    <w:rsid w:val="38F117B0"/>
    <w:rsid w:val="39034CBF"/>
    <w:rsid w:val="39513FFD"/>
    <w:rsid w:val="396771A5"/>
    <w:rsid w:val="396C6275"/>
    <w:rsid w:val="39906D1F"/>
    <w:rsid w:val="39980E9A"/>
    <w:rsid w:val="399B25AA"/>
    <w:rsid w:val="39C541E9"/>
    <w:rsid w:val="3A2105D9"/>
    <w:rsid w:val="3A2768D9"/>
    <w:rsid w:val="3A2B6F44"/>
    <w:rsid w:val="3AA306FC"/>
    <w:rsid w:val="3B293484"/>
    <w:rsid w:val="3C1557B6"/>
    <w:rsid w:val="3C1F6635"/>
    <w:rsid w:val="3C426FA2"/>
    <w:rsid w:val="3C853BB1"/>
    <w:rsid w:val="3CF9565D"/>
    <w:rsid w:val="3CFB4500"/>
    <w:rsid w:val="3D217110"/>
    <w:rsid w:val="3D2F2EDF"/>
    <w:rsid w:val="3D580EC1"/>
    <w:rsid w:val="3D7E7CC4"/>
    <w:rsid w:val="3DC26036"/>
    <w:rsid w:val="3DC83415"/>
    <w:rsid w:val="3E461E3A"/>
    <w:rsid w:val="3E802756"/>
    <w:rsid w:val="3E8135D7"/>
    <w:rsid w:val="3E8D3D29"/>
    <w:rsid w:val="3ED72531"/>
    <w:rsid w:val="3F213F04"/>
    <w:rsid w:val="3F4B51FA"/>
    <w:rsid w:val="3F5465F5"/>
    <w:rsid w:val="3F5901E3"/>
    <w:rsid w:val="3F657D1A"/>
    <w:rsid w:val="3FAC1D13"/>
    <w:rsid w:val="3FD3401C"/>
    <w:rsid w:val="40503261"/>
    <w:rsid w:val="40583EC3"/>
    <w:rsid w:val="4086633B"/>
    <w:rsid w:val="40FF53EC"/>
    <w:rsid w:val="41075617"/>
    <w:rsid w:val="41314039"/>
    <w:rsid w:val="41410DFB"/>
    <w:rsid w:val="41540B2E"/>
    <w:rsid w:val="41561E6F"/>
    <w:rsid w:val="41A713AA"/>
    <w:rsid w:val="41B468E9"/>
    <w:rsid w:val="41B96D4B"/>
    <w:rsid w:val="42096F4A"/>
    <w:rsid w:val="42710AC3"/>
    <w:rsid w:val="42B7150D"/>
    <w:rsid w:val="43724FCF"/>
    <w:rsid w:val="437B5AD8"/>
    <w:rsid w:val="43D57920"/>
    <w:rsid w:val="43E150F1"/>
    <w:rsid w:val="44557097"/>
    <w:rsid w:val="445D44B8"/>
    <w:rsid w:val="44875842"/>
    <w:rsid w:val="44CE6E4A"/>
    <w:rsid w:val="450D1A53"/>
    <w:rsid w:val="4536503C"/>
    <w:rsid w:val="453B5ED4"/>
    <w:rsid w:val="45707D87"/>
    <w:rsid w:val="4574354D"/>
    <w:rsid w:val="457F7DCC"/>
    <w:rsid w:val="45913ECC"/>
    <w:rsid w:val="45F70820"/>
    <w:rsid w:val="46511A49"/>
    <w:rsid w:val="468A45E6"/>
    <w:rsid w:val="46C50728"/>
    <w:rsid w:val="46F24AA8"/>
    <w:rsid w:val="46F62C1F"/>
    <w:rsid w:val="47190850"/>
    <w:rsid w:val="473F5F5D"/>
    <w:rsid w:val="47404880"/>
    <w:rsid w:val="47517686"/>
    <w:rsid w:val="480E1FA3"/>
    <w:rsid w:val="488F069E"/>
    <w:rsid w:val="48A73DFD"/>
    <w:rsid w:val="48EC3D42"/>
    <w:rsid w:val="493D48C3"/>
    <w:rsid w:val="496B2EB9"/>
    <w:rsid w:val="497A71A2"/>
    <w:rsid w:val="49D37EFF"/>
    <w:rsid w:val="49F15E5D"/>
    <w:rsid w:val="49FE1D2E"/>
    <w:rsid w:val="4A036D84"/>
    <w:rsid w:val="4A0E71D9"/>
    <w:rsid w:val="4A161077"/>
    <w:rsid w:val="4A3A07BC"/>
    <w:rsid w:val="4A3E0A03"/>
    <w:rsid w:val="4A4E5E53"/>
    <w:rsid w:val="4A623A4F"/>
    <w:rsid w:val="4A6D314D"/>
    <w:rsid w:val="4AA5099E"/>
    <w:rsid w:val="4AC46F61"/>
    <w:rsid w:val="4ADA1EC2"/>
    <w:rsid w:val="4B150FFF"/>
    <w:rsid w:val="4B687FC7"/>
    <w:rsid w:val="4B6E4EE3"/>
    <w:rsid w:val="4BC3375A"/>
    <w:rsid w:val="4BC92C8C"/>
    <w:rsid w:val="4BEE74AC"/>
    <w:rsid w:val="4C1005DC"/>
    <w:rsid w:val="4C155B12"/>
    <w:rsid w:val="4C155B9F"/>
    <w:rsid w:val="4C580C3B"/>
    <w:rsid w:val="4C6E3A8D"/>
    <w:rsid w:val="4CD308B4"/>
    <w:rsid w:val="4D7A5EB3"/>
    <w:rsid w:val="4D901140"/>
    <w:rsid w:val="4D9709C7"/>
    <w:rsid w:val="4DC254BE"/>
    <w:rsid w:val="4DCB6CBE"/>
    <w:rsid w:val="4E07044E"/>
    <w:rsid w:val="4E08517B"/>
    <w:rsid w:val="4E1F4D71"/>
    <w:rsid w:val="4E5A0963"/>
    <w:rsid w:val="4E8C095C"/>
    <w:rsid w:val="4EA316A1"/>
    <w:rsid w:val="4EA8347E"/>
    <w:rsid w:val="4EE63D45"/>
    <w:rsid w:val="4F020FAD"/>
    <w:rsid w:val="4F2935FA"/>
    <w:rsid w:val="4F790EA8"/>
    <w:rsid w:val="4FA87A03"/>
    <w:rsid w:val="4FE73F37"/>
    <w:rsid w:val="50055E16"/>
    <w:rsid w:val="50193B47"/>
    <w:rsid w:val="502F2A5B"/>
    <w:rsid w:val="5035579E"/>
    <w:rsid w:val="505801B2"/>
    <w:rsid w:val="506B4211"/>
    <w:rsid w:val="50781318"/>
    <w:rsid w:val="509F1F4E"/>
    <w:rsid w:val="51172D0B"/>
    <w:rsid w:val="5131081C"/>
    <w:rsid w:val="51866B8E"/>
    <w:rsid w:val="51B608F9"/>
    <w:rsid w:val="51C15D6C"/>
    <w:rsid w:val="51D668AA"/>
    <w:rsid w:val="520E4D2A"/>
    <w:rsid w:val="52271947"/>
    <w:rsid w:val="52390983"/>
    <w:rsid w:val="52614E59"/>
    <w:rsid w:val="52A83034"/>
    <w:rsid w:val="52E15F9A"/>
    <w:rsid w:val="531037AF"/>
    <w:rsid w:val="5316794F"/>
    <w:rsid w:val="533A4A30"/>
    <w:rsid w:val="53726408"/>
    <w:rsid w:val="538B7EA8"/>
    <w:rsid w:val="53D8114B"/>
    <w:rsid w:val="5452416E"/>
    <w:rsid w:val="54646E83"/>
    <w:rsid w:val="54752E3E"/>
    <w:rsid w:val="54861FE7"/>
    <w:rsid w:val="54B70B41"/>
    <w:rsid w:val="54E3249D"/>
    <w:rsid w:val="54F531FB"/>
    <w:rsid w:val="551E34D6"/>
    <w:rsid w:val="558654B5"/>
    <w:rsid w:val="55AB7C53"/>
    <w:rsid w:val="564E1B99"/>
    <w:rsid w:val="565A4F72"/>
    <w:rsid w:val="56A41545"/>
    <w:rsid w:val="56CC7D3E"/>
    <w:rsid w:val="56D007FF"/>
    <w:rsid w:val="56FA762A"/>
    <w:rsid w:val="57033CC9"/>
    <w:rsid w:val="5737262D"/>
    <w:rsid w:val="574511ED"/>
    <w:rsid w:val="579E7D32"/>
    <w:rsid w:val="57D82C2D"/>
    <w:rsid w:val="58067EE4"/>
    <w:rsid w:val="58213A19"/>
    <w:rsid w:val="58E6430A"/>
    <w:rsid w:val="590D1897"/>
    <w:rsid w:val="5920076D"/>
    <w:rsid w:val="593E3EDE"/>
    <w:rsid w:val="5952374E"/>
    <w:rsid w:val="59B73FD8"/>
    <w:rsid w:val="59CB0A78"/>
    <w:rsid w:val="59F0543D"/>
    <w:rsid w:val="5A0E36D1"/>
    <w:rsid w:val="5A341B59"/>
    <w:rsid w:val="5B1E4CF5"/>
    <w:rsid w:val="5B1E4EF5"/>
    <w:rsid w:val="5B35443E"/>
    <w:rsid w:val="5B4B66A7"/>
    <w:rsid w:val="5B9147DC"/>
    <w:rsid w:val="5C115B42"/>
    <w:rsid w:val="5C3F26AF"/>
    <w:rsid w:val="5C4F0418"/>
    <w:rsid w:val="5C4F71FE"/>
    <w:rsid w:val="5C746036"/>
    <w:rsid w:val="5CF72D1F"/>
    <w:rsid w:val="5CFD534D"/>
    <w:rsid w:val="5D196598"/>
    <w:rsid w:val="5D1A7C60"/>
    <w:rsid w:val="5D323A32"/>
    <w:rsid w:val="5D846E29"/>
    <w:rsid w:val="5DEA664B"/>
    <w:rsid w:val="5DFB03EA"/>
    <w:rsid w:val="5E424B3B"/>
    <w:rsid w:val="5E587A58"/>
    <w:rsid w:val="5E995DA3"/>
    <w:rsid w:val="5EFE4C15"/>
    <w:rsid w:val="5F0C2943"/>
    <w:rsid w:val="5FA7326D"/>
    <w:rsid w:val="600B4FBD"/>
    <w:rsid w:val="60BD5F9D"/>
    <w:rsid w:val="60C4288F"/>
    <w:rsid w:val="61034311"/>
    <w:rsid w:val="61075A53"/>
    <w:rsid w:val="612935E8"/>
    <w:rsid w:val="612B4FB0"/>
    <w:rsid w:val="61532266"/>
    <w:rsid w:val="616238E9"/>
    <w:rsid w:val="619B3AC5"/>
    <w:rsid w:val="61A62813"/>
    <w:rsid w:val="61AE1680"/>
    <w:rsid w:val="61B656B3"/>
    <w:rsid w:val="61CE3B8D"/>
    <w:rsid w:val="61D26E50"/>
    <w:rsid w:val="61F53111"/>
    <w:rsid w:val="61FB0E26"/>
    <w:rsid w:val="620D6DAC"/>
    <w:rsid w:val="621D675B"/>
    <w:rsid w:val="626821B8"/>
    <w:rsid w:val="62B401DB"/>
    <w:rsid w:val="62D83A51"/>
    <w:rsid w:val="62F77B8E"/>
    <w:rsid w:val="63186CDC"/>
    <w:rsid w:val="635869EE"/>
    <w:rsid w:val="635A7BCD"/>
    <w:rsid w:val="63DE6780"/>
    <w:rsid w:val="63FC4110"/>
    <w:rsid w:val="642144EE"/>
    <w:rsid w:val="64391500"/>
    <w:rsid w:val="643E6A5B"/>
    <w:rsid w:val="644F0024"/>
    <w:rsid w:val="64644A1E"/>
    <w:rsid w:val="64675034"/>
    <w:rsid w:val="64AC2EA1"/>
    <w:rsid w:val="64B300BD"/>
    <w:rsid w:val="6559603C"/>
    <w:rsid w:val="658C6239"/>
    <w:rsid w:val="65D200F0"/>
    <w:rsid w:val="65F24E22"/>
    <w:rsid w:val="660C2596"/>
    <w:rsid w:val="662B0E85"/>
    <w:rsid w:val="66423AE4"/>
    <w:rsid w:val="665F17E4"/>
    <w:rsid w:val="668524C1"/>
    <w:rsid w:val="669968FB"/>
    <w:rsid w:val="66BE54BF"/>
    <w:rsid w:val="66C022CE"/>
    <w:rsid w:val="66F37830"/>
    <w:rsid w:val="67215134"/>
    <w:rsid w:val="673D6EF2"/>
    <w:rsid w:val="67690288"/>
    <w:rsid w:val="678B7AFD"/>
    <w:rsid w:val="67A65B59"/>
    <w:rsid w:val="67D1677A"/>
    <w:rsid w:val="680D76C2"/>
    <w:rsid w:val="68437235"/>
    <w:rsid w:val="689C31EF"/>
    <w:rsid w:val="68C065B7"/>
    <w:rsid w:val="68CF4AF1"/>
    <w:rsid w:val="68D57CAD"/>
    <w:rsid w:val="68EA6166"/>
    <w:rsid w:val="69157D36"/>
    <w:rsid w:val="693D295E"/>
    <w:rsid w:val="69424FEB"/>
    <w:rsid w:val="69B4381C"/>
    <w:rsid w:val="6A572A84"/>
    <w:rsid w:val="6AA30FB5"/>
    <w:rsid w:val="6ABE19B3"/>
    <w:rsid w:val="6B077F4B"/>
    <w:rsid w:val="6B5A2458"/>
    <w:rsid w:val="6B8027DD"/>
    <w:rsid w:val="6B951B8F"/>
    <w:rsid w:val="6C10238E"/>
    <w:rsid w:val="6C284C08"/>
    <w:rsid w:val="6C320530"/>
    <w:rsid w:val="6C373805"/>
    <w:rsid w:val="6C3B62C3"/>
    <w:rsid w:val="6C514235"/>
    <w:rsid w:val="6C6677BD"/>
    <w:rsid w:val="6C8F7B28"/>
    <w:rsid w:val="6CA465CC"/>
    <w:rsid w:val="6D043ED6"/>
    <w:rsid w:val="6D217A01"/>
    <w:rsid w:val="6D291943"/>
    <w:rsid w:val="6D4A6DFD"/>
    <w:rsid w:val="6D7F4E97"/>
    <w:rsid w:val="6D8C49FF"/>
    <w:rsid w:val="6DA02E5A"/>
    <w:rsid w:val="6DBD2374"/>
    <w:rsid w:val="6DDF483D"/>
    <w:rsid w:val="6DF34508"/>
    <w:rsid w:val="6E076DA5"/>
    <w:rsid w:val="6E091CE6"/>
    <w:rsid w:val="6E132890"/>
    <w:rsid w:val="6E6E2A6F"/>
    <w:rsid w:val="6E996D9E"/>
    <w:rsid w:val="6EAA5993"/>
    <w:rsid w:val="6EDF44EB"/>
    <w:rsid w:val="6EF85E01"/>
    <w:rsid w:val="6F0B253D"/>
    <w:rsid w:val="6F272DBC"/>
    <w:rsid w:val="6F356018"/>
    <w:rsid w:val="6F4A3D42"/>
    <w:rsid w:val="6F4B429D"/>
    <w:rsid w:val="6FB62831"/>
    <w:rsid w:val="6FEF7AF1"/>
    <w:rsid w:val="700041A4"/>
    <w:rsid w:val="702E3539"/>
    <w:rsid w:val="7041353B"/>
    <w:rsid w:val="70A640E6"/>
    <w:rsid w:val="70C146AC"/>
    <w:rsid w:val="70CE3F7C"/>
    <w:rsid w:val="70D626B4"/>
    <w:rsid w:val="71152AE8"/>
    <w:rsid w:val="71301BB9"/>
    <w:rsid w:val="714D0F73"/>
    <w:rsid w:val="716D6D77"/>
    <w:rsid w:val="716F45B5"/>
    <w:rsid w:val="717E531D"/>
    <w:rsid w:val="71A30B93"/>
    <w:rsid w:val="71A84617"/>
    <w:rsid w:val="71C650B7"/>
    <w:rsid w:val="71D343DE"/>
    <w:rsid w:val="71F27AAF"/>
    <w:rsid w:val="71F71048"/>
    <w:rsid w:val="720F3615"/>
    <w:rsid w:val="725473E8"/>
    <w:rsid w:val="729763B7"/>
    <w:rsid w:val="72AB2ECF"/>
    <w:rsid w:val="72B01D4E"/>
    <w:rsid w:val="73217BC8"/>
    <w:rsid w:val="736854A3"/>
    <w:rsid w:val="739A7D73"/>
    <w:rsid w:val="73AD4A93"/>
    <w:rsid w:val="73EB5235"/>
    <w:rsid w:val="74154547"/>
    <w:rsid w:val="74380F56"/>
    <w:rsid w:val="743D52CE"/>
    <w:rsid w:val="747B0332"/>
    <w:rsid w:val="7485401F"/>
    <w:rsid w:val="74F31E31"/>
    <w:rsid w:val="74F461A5"/>
    <w:rsid w:val="74F77386"/>
    <w:rsid w:val="75122C13"/>
    <w:rsid w:val="7559289F"/>
    <w:rsid w:val="75A849CA"/>
    <w:rsid w:val="75BA4FFA"/>
    <w:rsid w:val="75D25005"/>
    <w:rsid w:val="75E05A22"/>
    <w:rsid w:val="75FE1C75"/>
    <w:rsid w:val="762229CE"/>
    <w:rsid w:val="767D7D55"/>
    <w:rsid w:val="76BB5B10"/>
    <w:rsid w:val="76C77E3C"/>
    <w:rsid w:val="76D77202"/>
    <w:rsid w:val="76D812DE"/>
    <w:rsid w:val="76F123A0"/>
    <w:rsid w:val="7715608F"/>
    <w:rsid w:val="77445304"/>
    <w:rsid w:val="775B71AD"/>
    <w:rsid w:val="776433A4"/>
    <w:rsid w:val="7782199E"/>
    <w:rsid w:val="77CF4241"/>
    <w:rsid w:val="783261E0"/>
    <w:rsid w:val="78346983"/>
    <w:rsid w:val="7840538D"/>
    <w:rsid w:val="784145B3"/>
    <w:rsid w:val="786848E4"/>
    <w:rsid w:val="786C1668"/>
    <w:rsid w:val="7883745C"/>
    <w:rsid w:val="789C5F13"/>
    <w:rsid w:val="78C95383"/>
    <w:rsid w:val="78FB4922"/>
    <w:rsid w:val="79240B36"/>
    <w:rsid w:val="794549BD"/>
    <w:rsid w:val="79734A7F"/>
    <w:rsid w:val="79735587"/>
    <w:rsid w:val="799C5EBA"/>
    <w:rsid w:val="79D9305F"/>
    <w:rsid w:val="7AAD2A82"/>
    <w:rsid w:val="7ABC10AC"/>
    <w:rsid w:val="7B2214EA"/>
    <w:rsid w:val="7B566C30"/>
    <w:rsid w:val="7BE948D4"/>
    <w:rsid w:val="7C1A0D66"/>
    <w:rsid w:val="7C3C0199"/>
    <w:rsid w:val="7CC96E10"/>
    <w:rsid w:val="7CE951C8"/>
    <w:rsid w:val="7CF90201"/>
    <w:rsid w:val="7D2E2EBC"/>
    <w:rsid w:val="7D3E0B48"/>
    <w:rsid w:val="7D676A9B"/>
    <w:rsid w:val="7DB1790D"/>
    <w:rsid w:val="7DBC39BB"/>
    <w:rsid w:val="7DE351D3"/>
    <w:rsid w:val="7DF02E55"/>
    <w:rsid w:val="7DFA4436"/>
    <w:rsid w:val="7E113EE4"/>
    <w:rsid w:val="7E19598B"/>
    <w:rsid w:val="7E3A1CCB"/>
    <w:rsid w:val="7E4B683A"/>
    <w:rsid w:val="7E622E86"/>
    <w:rsid w:val="7E6F467F"/>
    <w:rsid w:val="7F3D2753"/>
    <w:rsid w:val="7F6A0F42"/>
    <w:rsid w:val="7FA22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3D98D"/>
  <w15:chartTrackingRefBased/>
  <w15:docId w15:val="{39A82936-1A82-4E63-AFC2-13EEDA85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lsdException w:name="annotation text" w:uiPriority="99"/>
    <w:lsdException w:name="caption" w:semiHidden="1" w:unhideWhenUsed="1" w:qFormat="1"/>
    <w:lsdException w:name="footnote reference" w:semiHidden="1"/>
    <w:lsdException w:name="annotation reference" w:uiPriority="99"/>
    <w:lsdException w:name="Title" w:qFormat="1"/>
    <w:lsdException w:name="Default Paragraph Font" w:semiHidden="1"/>
    <w:lsdException w:name="Subtitle" w:qFormat="1"/>
    <w:lsdException w:name="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3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link w:val="10"/>
    <w:qFormat/>
    <w:pPr>
      <w:keepNext/>
      <w:keepLines/>
      <w:spacing w:beforeLines="100" w:before="100" w:afterLines="100" w:after="100"/>
      <w:jc w:val="center"/>
      <w:outlineLvl w:val="0"/>
    </w:pPr>
    <w:rPr>
      <w:rFonts w:eastAsia="黑体"/>
      <w:b/>
      <w:bCs/>
      <w:kern w:val="44"/>
      <w:sz w:val="30"/>
      <w:szCs w:val="44"/>
    </w:rPr>
  </w:style>
  <w:style w:type="paragraph" w:styleId="2">
    <w:name w:val="heading 2"/>
    <w:basedOn w:val="a"/>
    <w:next w:val="a"/>
    <w:link w:val="20"/>
    <w:qFormat/>
    <w:pPr>
      <w:keepNext/>
      <w:keepLines/>
      <w:spacing w:beforeLines="50" w:before="50" w:afterLines="50" w:after="50"/>
      <w:jc w:val="center"/>
      <w:outlineLvl w:val="1"/>
    </w:pPr>
    <w:rPr>
      <w:rFonts w:eastAsia="黑体"/>
      <w:b/>
      <w:bCs/>
      <w:sz w:val="28"/>
      <w:szCs w:val="32"/>
    </w:rPr>
  </w:style>
  <w:style w:type="paragraph" w:styleId="3">
    <w:name w:val="heading 3"/>
    <w:basedOn w:val="a"/>
    <w:next w:val="a"/>
    <w:link w:val="30"/>
    <w:qFormat/>
    <w:pPr>
      <w:keepNext/>
      <w:keepLines/>
      <w:outlineLvl w:val="2"/>
    </w:pPr>
    <w:rPr>
      <w:b/>
      <w:bCs/>
      <w:szCs w:val="28"/>
    </w:rPr>
  </w:style>
  <w:style w:type="paragraph" w:styleId="4">
    <w:name w:val="heading 4"/>
    <w:basedOn w:val="a"/>
    <w:next w:val="a"/>
    <w:qFormat/>
    <w:pPr>
      <w:spacing w:before="100" w:beforeAutospacing="1" w:after="100" w:afterAutospacing="1"/>
      <w:jc w:val="left"/>
      <w:outlineLvl w:val="3"/>
    </w:pPr>
    <w:rPr>
      <w:rFonts w:ascii="宋体" w:hAnsi="宋体" w:hint="eastAsia"/>
      <w:b/>
      <w:bCs/>
      <w:kern w:val="0"/>
      <w:sz w:val="24"/>
    </w:rPr>
  </w:style>
  <w:style w:type="paragraph" w:styleId="5">
    <w:name w:val="heading 5"/>
    <w:basedOn w:val="a"/>
    <w:next w:val="a"/>
    <w:link w:val="50"/>
    <w:qFormat/>
    <w:pPr>
      <w:keepNext/>
      <w:keepLines/>
      <w:spacing w:before="280" w:after="290" w:line="376" w:lineRule="auto"/>
      <w:outlineLvl w:val="4"/>
    </w:pPr>
    <w:rPr>
      <w:b/>
      <w:bCs/>
      <w:sz w:val="28"/>
      <w:szCs w:val="28"/>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eastAsia="黑体"/>
      <w:b/>
      <w:bCs/>
      <w:kern w:val="44"/>
      <w:sz w:val="30"/>
      <w:szCs w:val="44"/>
      <w:lang w:bidi="ar-SA"/>
    </w:rPr>
  </w:style>
  <w:style w:type="character" w:customStyle="1" w:styleId="20">
    <w:name w:val="标题 2 字符"/>
    <w:link w:val="2"/>
    <w:rPr>
      <w:rFonts w:eastAsia="黑体"/>
      <w:b/>
      <w:bCs/>
      <w:kern w:val="2"/>
      <w:sz w:val="28"/>
      <w:szCs w:val="32"/>
      <w:lang w:bidi="ar-SA"/>
    </w:rPr>
  </w:style>
  <w:style w:type="character" w:customStyle="1" w:styleId="30">
    <w:name w:val="标题 3 字符"/>
    <w:link w:val="3"/>
    <w:rPr>
      <w:rFonts w:eastAsia="宋体"/>
      <w:b/>
      <w:bCs/>
      <w:kern w:val="2"/>
      <w:sz w:val="21"/>
      <w:szCs w:val="28"/>
      <w:lang w:bidi="ar-SA"/>
    </w:rPr>
  </w:style>
  <w:style w:type="character" w:customStyle="1" w:styleId="50">
    <w:name w:val="标题 5 字符"/>
    <w:link w:val="5"/>
    <w:semiHidden/>
    <w:rPr>
      <w:b/>
      <w:bCs/>
      <w:kern w:val="2"/>
      <w:sz w:val="28"/>
      <w:szCs w:val="28"/>
    </w:rPr>
  </w:style>
  <w:style w:type="paragraph" w:styleId="TOC7">
    <w:name w:val="toc 7"/>
    <w:basedOn w:val="a"/>
    <w:next w:val="a"/>
    <w:uiPriority w:val="39"/>
    <w:pPr>
      <w:ind w:left="1440"/>
      <w:jc w:val="left"/>
    </w:pPr>
    <w:rPr>
      <w:sz w:val="18"/>
      <w:szCs w:val="1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eastAsia="宋体"/>
      <w:kern w:val="2"/>
      <w:sz w:val="21"/>
      <w:szCs w:val="24"/>
      <w:lang w:val="en-US" w:eastAsia="zh-CN" w:bidi="ar-SA"/>
    </w:rPr>
  </w:style>
  <w:style w:type="paragraph" w:styleId="a5">
    <w:name w:val="annotation text"/>
    <w:basedOn w:val="a"/>
    <w:link w:val="a6"/>
    <w:uiPriority w:val="99"/>
    <w:pPr>
      <w:jc w:val="left"/>
    </w:pPr>
  </w:style>
  <w:style w:type="character" w:customStyle="1" w:styleId="a6">
    <w:name w:val="批注文字 字符"/>
    <w:link w:val="a5"/>
    <w:uiPriority w:val="99"/>
    <w:rPr>
      <w:kern w:val="2"/>
      <w:sz w:val="21"/>
      <w:szCs w:val="24"/>
    </w:rPr>
  </w:style>
  <w:style w:type="paragraph" w:styleId="TOC5">
    <w:name w:val="toc 5"/>
    <w:basedOn w:val="a"/>
    <w:next w:val="a"/>
    <w:uiPriority w:val="39"/>
    <w:pPr>
      <w:ind w:left="960"/>
      <w:jc w:val="left"/>
    </w:pPr>
    <w:rPr>
      <w:sz w:val="18"/>
      <w:szCs w:val="18"/>
    </w:rPr>
  </w:style>
  <w:style w:type="paragraph" w:styleId="TOC3">
    <w:name w:val="toc 3"/>
    <w:basedOn w:val="a"/>
    <w:next w:val="a"/>
    <w:uiPriority w:val="39"/>
    <w:pPr>
      <w:ind w:leftChars="400" w:left="840"/>
    </w:pPr>
  </w:style>
  <w:style w:type="paragraph" w:styleId="TOC8">
    <w:name w:val="toc 8"/>
    <w:basedOn w:val="a"/>
    <w:next w:val="a"/>
    <w:uiPriority w:val="39"/>
    <w:pPr>
      <w:ind w:left="1680"/>
      <w:jc w:val="left"/>
    </w:pPr>
    <w:rPr>
      <w:sz w:val="18"/>
      <w:szCs w:val="18"/>
    </w:rPr>
  </w:style>
  <w:style w:type="paragraph" w:styleId="a7">
    <w:name w:val="Balloon Text"/>
    <w:basedOn w:val="a"/>
    <w:semiHidden/>
    <w:rPr>
      <w:sz w:val="18"/>
      <w:szCs w:val="18"/>
    </w:rPr>
  </w:style>
  <w:style w:type="paragraph" w:styleId="a8">
    <w:name w:val="footer"/>
    <w:basedOn w:val="a"/>
    <w:link w:val="a9"/>
    <w:pPr>
      <w:tabs>
        <w:tab w:val="center" w:pos="4153"/>
        <w:tab w:val="right" w:pos="8306"/>
      </w:tabs>
      <w:snapToGrid w:val="0"/>
      <w:spacing w:line="240" w:lineRule="auto"/>
      <w:jc w:val="left"/>
    </w:pPr>
    <w:rPr>
      <w:sz w:val="18"/>
      <w:szCs w:val="18"/>
    </w:rPr>
  </w:style>
  <w:style w:type="character" w:customStyle="1" w:styleId="a9">
    <w:name w:val="页脚 字符"/>
    <w:link w:val="a8"/>
    <w:rPr>
      <w:rFonts w:eastAsia="宋体"/>
      <w:kern w:val="2"/>
      <w:sz w:val="18"/>
      <w:szCs w:val="18"/>
      <w:lang w:val="en-US" w:eastAsia="zh-CN" w:bidi="ar-SA"/>
    </w:rPr>
  </w:style>
  <w:style w:type="paragraph" w:styleId="aa">
    <w:name w:val="header"/>
    <w:basedOn w:val="a"/>
    <w:link w:val="ab"/>
    <w:pPr>
      <w:pBdr>
        <w:bottom w:val="single" w:sz="6" w:space="1" w:color="auto"/>
      </w:pBdr>
      <w:tabs>
        <w:tab w:val="center" w:pos="4153"/>
        <w:tab w:val="right" w:pos="8306"/>
      </w:tabs>
      <w:snapToGrid w:val="0"/>
      <w:spacing w:line="240" w:lineRule="auto"/>
      <w:jc w:val="center"/>
    </w:pPr>
    <w:rPr>
      <w:sz w:val="18"/>
      <w:szCs w:val="18"/>
    </w:rPr>
  </w:style>
  <w:style w:type="character" w:customStyle="1" w:styleId="ab">
    <w:name w:val="页眉 字符"/>
    <w:link w:val="aa"/>
    <w:rPr>
      <w:rFonts w:eastAsia="宋体"/>
      <w:kern w:val="2"/>
      <w:sz w:val="18"/>
      <w:szCs w:val="18"/>
      <w:lang w:val="en-US" w:eastAsia="zh-CN" w:bidi="ar-SA"/>
    </w:rPr>
  </w:style>
  <w:style w:type="paragraph" w:styleId="TOC1">
    <w:name w:val="toc 1"/>
    <w:basedOn w:val="a"/>
    <w:next w:val="a"/>
    <w:uiPriority w:val="39"/>
  </w:style>
  <w:style w:type="paragraph" w:styleId="TOC4">
    <w:name w:val="toc 4"/>
    <w:basedOn w:val="a"/>
    <w:next w:val="a"/>
    <w:uiPriority w:val="39"/>
    <w:pPr>
      <w:ind w:left="720"/>
      <w:jc w:val="left"/>
    </w:pPr>
    <w:rPr>
      <w:sz w:val="18"/>
      <w:szCs w:val="18"/>
    </w:rPr>
  </w:style>
  <w:style w:type="paragraph" w:styleId="ac">
    <w:name w:val="footnote text"/>
    <w:basedOn w:val="a"/>
    <w:link w:val="ad"/>
    <w:semiHidden/>
    <w:pPr>
      <w:snapToGrid w:val="0"/>
      <w:jc w:val="left"/>
    </w:pPr>
    <w:rPr>
      <w:rFonts w:ascii="宋体" w:hAnsi="宋体"/>
      <w:sz w:val="18"/>
      <w:szCs w:val="18"/>
    </w:rPr>
  </w:style>
  <w:style w:type="character" w:customStyle="1" w:styleId="ad">
    <w:name w:val="脚注文本 字符"/>
    <w:link w:val="ac"/>
    <w:semiHidden/>
    <w:rPr>
      <w:rFonts w:ascii="宋体" w:eastAsia="宋体" w:hAnsi="宋体"/>
      <w:kern w:val="2"/>
      <w:sz w:val="18"/>
      <w:szCs w:val="18"/>
      <w:lang w:bidi="ar-SA"/>
    </w:rPr>
  </w:style>
  <w:style w:type="paragraph" w:styleId="TOC6">
    <w:name w:val="toc 6"/>
    <w:basedOn w:val="a"/>
    <w:next w:val="a"/>
    <w:uiPriority w:val="39"/>
    <w:pPr>
      <w:ind w:left="1200"/>
      <w:jc w:val="left"/>
    </w:pPr>
    <w:rPr>
      <w:sz w:val="18"/>
      <w:szCs w:val="18"/>
    </w:rPr>
  </w:style>
  <w:style w:type="paragraph" w:styleId="TOC2">
    <w:name w:val="toc 2"/>
    <w:basedOn w:val="a"/>
    <w:next w:val="a"/>
    <w:uiPriority w:val="39"/>
    <w:pPr>
      <w:ind w:leftChars="200" w:left="420"/>
    </w:pPr>
  </w:style>
  <w:style w:type="paragraph" w:styleId="TOC9">
    <w:name w:val="toc 9"/>
    <w:basedOn w:val="a"/>
    <w:next w:val="a"/>
    <w:uiPriority w:val="39"/>
    <w:pPr>
      <w:ind w:left="1920"/>
      <w:jc w:val="left"/>
    </w:pPr>
    <w:rPr>
      <w:sz w:val="18"/>
      <w:szCs w:val="18"/>
    </w:rPr>
  </w:style>
  <w:style w:type="paragraph" w:styleId="ae">
    <w:name w:val="Normal (Web)"/>
    <w:basedOn w:val="a"/>
    <w:uiPriority w:val="99"/>
    <w:pPr>
      <w:spacing w:line="240" w:lineRule="auto"/>
      <w:jc w:val="left"/>
    </w:pPr>
    <w:rPr>
      <w:rFonts w:ascii="Calibri" w:hAnsi="Calibri"/>
      <w:kern w:val="0"/>
      <w:sz w:val="24"/>
    </w:rPr>
  </w:style>
  <w:style w:type="paragraph" w:styleId="af">
    <w:name w:val="annotation subject"/>
    <w:basedOn w:val="a5"/>
    <w:next w:val="a5"/>
    <w:rPr>
      <w:b/>
      <w:bCs/>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Pr>
      <w:b/>
      <w:bCs/>
    </w:rPr>
  </w:style>
  <w:style w:type="character" w:styleId="af2">
    <w:name w:val="page number"/>
  </w:style>
  <w:style w:type="character" w:styleId="af3">
    <w:name w:val="FollowedHyperlink"/>
    <w:rPr>
      <w:color w:val="000000"/>
      <w:u w:val="none"/>
    </w:rPr>
  </w:style>
  <w:style w:type="character" w:styleId="af4">
    <w:name w:val="Emphasis"/>
    <w:qFormat/>
    <w:rPr>
      <w:i/>
      <w:iCs/>
    </w:rPr>
  </w:style>
  <w:style w:type="character" w:styleId="af5">
    <w:name w:val="Hyperlink"/>
    <w:uiPriority w:val="99"/>
    <w:rPr>
      <w:color w:val="0000FF"/>
      <w:u w:val="single"/>
    </w:rPr>
  </w:style>
  <w:style w:type="character" w:styleId="af6">
    <w:name w:val="annotation reference"/>
    <w:uiPriority w:val="99"/>
    <w:rPr>
      <w:sz w:val="21"/>
      <w:szCs w:val="21"/>
    </w:rPr>
  </w:style>
  <w:style w:type="character" w:styleId="af7">
    <w:name w:val="footnote reference"/>
    <w:semiHidden/>
    <w:rPr>
      <w:vertAlign w:val="superscript"/>
    </w:rPr>
  </w:style>
  <w:style w:type="character" w:customStyle="1" w:styleId="af8">
    <w:name w:val="脚注引用+白色"/>
    <w:rPr>
      <w:rFonts w:ascii="黑体" w:eastAsia="黑体" w:hAnsi="黑体"/>
      <w:color w:val="FFFFFF"/>
      <w:sz w:val="21"/>
      <w:vertAlign w:val="superscript"/>
    </w:rPr>
  </w:style>
  <w:style w:type="character" w:customStyle="1" w:styleId="CharChar8">
    <w:name w:val=" Char Char8"/>
    <w:rPr>
      <w:rFonts w:eastAsia="黑体"/>
      <w:bCs/>
      <w:kern w:val="2"/>
      <w:sz w:val="32"/>
      <w:szCs w:val="32"/>
      <w:lang w:val="en-US" w:eastAsia="zh-CN" w:bidi="ar-SA"/>
    </w:rPr>
  </w:style>
  <w:style w:type="character" w:customStyle="1" w:styleId="more">
    <w:name w:val="more"/>
  </w:style>
  <w:style w:type="character" w:customStyle="1" w:styleId="sidecatalog-dot">
    <w:name w:val="sidecatalog-dot"/>
  </w:style>
  <w:style w:type="character" w:customStyle="1" w:styleId="hover67">
    <w:name w:val="hover67"/>
  </w:style>
  <w:style w:type="character" w:customStyle="1" w:styleId="sidecatalog-index1">
    <w:name w:val="sidecatalog-index1"/>
    <w:rPr>
      <w:rFonts w:ascii="Arial" w:hAnsi="Arial" w:cs="Arial"/>
      <w:b/>
      <w:color w:val="999999"/>
      <w:sz w:val="21"/>
      <w:szCs w:val="21"/>
    </w:rPr>
  </w:style>
  <w:style w:type="character" w:customStyle="1" w:styleId="Char">
    <w:name w:val="图片格式 Char"/>
    <w:link w:val="af9"/>
    <w:rPr>
      <w:rFonts w:eastAsia="宋体" w:cs="宋体"/>
      <w:kern w:val="2"/>
      <w:sz w:val="24"/>
      <w:lang w:val="en-US" w:eastAsia="zh-CN" w:bidi="ar-SA"/>
    </w:rPr>
  </w:style>
  <w:style w:type="paragraph" w:customStyle="1" w:styleId="af9">
    <w:name w:val="图片格式"/>
    <w:basedOn w:val="a"/>
    <w:link w:val="Char"/>
    <w:pPr>
      <w:jc w:val="center"/>
    </w:pPr>
    <w:rPr>
      <w:rFonts w:cs="宋体"/>
      <w:sz w:val="24"/>
      <w:szCs w:val="20"/>
    </w:rPr>
  </w:style>
  <w:style w:type="character" w:customStyle="1" w:styleId="Char0">
    <w:name w:val="正文格式 Char"/>
    <w:link w:val="afa"/>
    <w:rPr>
      <w:rFonts w:ascii="Calibri" w:eastAsia="宋体" w:hAnsi="Calibri"/>
      <w:kern w:val="2"/>
      <w:sz w:val="24"/>
      <w:szCs w:val="24"/>
      <w:lang w:val="en-US" w:eastAsia="zh-CN" w:bidi="ar-SA"/>
    </w:rPr>
  </w:style>
  <w:style w:type="paragraph" w:customStyle="1" w:styleId="afa">
    <w:name w:val="正文格式"/>
    <w:basedOn w:val="a"/>
    <w:link w:val="Char0"/>
    <w:qFormat/>
    <w:pPr>
      <w:adjustRightInd w:val="0"/>
      <w:snapToGrid w:val="0"/>
      <w:spacing w:line="480" w:lineRule="exact"/>
      <w:ind w:firstLineChars="200" w:firstLine="200"/>
    </w:pPr>
    <w:rPr>
      <w:rFonts w:ascii="Calibri" w:hAnsi="Calibri"/>
      <w:sz w:val="24"/>
    </w:rPr>
  </w:style>
  <w:style w:type="character" w:customStyle="1" w:styleId="Char1">
    <w:name w:val="文字加粗显示 Char"/>
    <w:link w:val="afb"/>
    <w:rPr>
      <w:rFonts w:ascii="宋体" w:eastAsia="宋体" w:hAnsi="宋体" w:cs="宋体"/>
      <w:b/>
      <w:bCs/>
      <w:kern w:val="2"/>
      <w:sz w:val="24"/>
      <w:lang w:val="en-US" w:eastAsia="zh-CN" w:bidi="ar-SA"/>
    </w:rPr>
  </w:style>
  <w:style w:type="paragraph" w:customStyle="1" w:styleId="afb">
    <w:name w:val="文字加粗显示"/>
    <w:basedOn w:val="a"/>
    <w:link w:val="Char1"/>
    <w:pPr>
      <w:ind w:firstLineChars="200" w:firstLine="482"/>
    </w:pPr>
    <w:rPr>
      <w:rFonts w:ascii="宋体" w:hAnsi="宋体" w:cs="宋体"/>
      <w:b/>
      <w:bCs/>
      <w:sz w:val="24"/>
      <w:szCs w:val="20"/>
    </w:rPr>
  </w:style>
  <w:style w:type="character" w:customStyle="1" w:styleId="on">
    <w:name w:val="on"/>
    <w:rPr>
      <w:shd w:val="clear" w:color="auto" w:fill="FFFFFF"/>
    </w:rPr>
  </w:style>
  <w:style w:type="character" w:customStyle="1" w:styleId="CharChar9">
    <w:name w:val=" Char Char9"/>
    <w:rPr>
      <w:rFonts w:ascii="宋体" w:hAnsi="宋体"/>
      <w:b/>
      <w:bCs/>
      <w:kern w:val="44"/>
      <w:sz w:val="44"/>
      <w:szCs w:val="44"/>
    </w:rPr>
  </w:style>
  <w:style w:type="character" w:customStyle="1" w:styleId="CharChar">
    <w:name w:val="文字加粗显示 Char Char"/>
    <w:rPr>
      <w:rFonts w:ascii="宋体" w:eastAsia="宋体" w:hAnsi="宋体" w:cs="宋体"/>
      <w:b/>
      <w:bCs/>
      <w:kern w:val="2"/>
      <w:sz w:val="24"/>
      <w:lang w:val="en-US" w:eastAsia="zh-CN" w:bidi="ar-SA"/>
    </w:rPr>
  </w:style>
  <w:style w:type="character" w:customStyle="1" w:styleId="CharChar7">
    <w:name w:val=" Char Char7"/>
    <w:rPr>
      <w:rFonts w:eastAsia="宋体"/>
      <w:b/>
      <w:bCs/>
      <w:kern w:val="44"/>
      <w:sz w:val="44"/>
      <w:szCs w:val="44"/>
      <w:lang w:val="en-US" w:eastAsia="zh-CN" w:bidi="ar-SA"/>
    </w:rPr>
  </w:style>
  <w:style w:type="character" w:customStyle="1" w:styleId="Char2">
    <w:name w:val="表格内容格式 Char"/>
    <w:link w:val="afc"/>
    <w:rPr>
      <w:rFonts w:ascii="宋体" w:eastAsia="宋体" w:hAnsi="宋体"/>
      <w:kern w:val="2"/>
      <w:sz w:val="21"/>
      <w:lang w:bidi="ar-SA"/>
    </w:rPr>
  </w:style>
  <w:style w:type="paragraph" w:customStyle="1" w:styleId="afc">
    <w:name w:val="表格内容格式"/>
    <w:basedOn w:val="a"/>
    <w:link w:val="Char2"/>
    <w:pPr>
      <w:jc w:val="center"/>
    </w:pPr>
    <w:rPr>
      <w:rFonts w:ascii="宋体" w:hAnsi="宋体"/>
      <w:szCs w:val="20"/>
    </w:rPr>
  </w:style>
  <w:style w:type="character" w:customStyle="1" w:styleId="CharChar0">
    <w:name w:val="图表标题格式 Char Char"/>
    <w:link w:val="afd"/>
    <w:rPr>
      <w:rFonts w:eastAsia="黑体" w:cs="宋体"/>
      <w:kern w:val="2"/>
      <w:sz w:val="21"/>
      <w:lang w:val="en-US" w:eastAsia="zh-CN" w:bidi="ar-SA"/>
    </w:rPr>
  </w:style>
  <w:style w:type="paragraph" w:customStyle="1" w:styleId="afd">
    <w:name w:val="图表标题格式"/>
    <w:basedOn w:val="a"/>
    <w:link w:val="CharChar0"/>
    <w:pPr>
      <w:spacing w:beforeLines="50" w:before="156" w:afterLines="50" w:after="156" w:line="240" w:lineRule="auto"/>
      <w:jc w:val="center"/>
    </w:pPr>
    <w:rPr>
      <w:rFonts w:eastAsia="黑体" w:cs="宋体"/>
      <w:szCs w:val="20"/>
    </w:rPr>
  </w:style>
  <w:style w:type="character" w:customStyle="1" w:styleId="4Char">
    <w:name w:val="标题4 Char"/>
    <w:link w:val="40"/>
    <w:rPr>
      <w:rFonts w:eastAsia="宋体"/>
      <w:b/>
      <w:kern w:val="2"/>
      <w:sz w:val="21"/>
      <w:szCs w:val="24"/>
      <w:lang w:bidi="ar-SA"/>
    </w:rPr>
  </w:style>
  <w:style w:type="paragraph" w:customStyle="1" w:styleId="40">
    <w:name w:val="标题4"/>
    <w:basedOn w:val="3"/>
    <w:link w:val="4Char"/>
    <w:pPr>
      <w:outlineLvl w:val="3"/>
    </w:pPr>
    <w:rPr>
      <w:bCs w:val="0"/>
      <w:szCs w:val="24"/>
    </w:rPr>
  </w:style>
  <w:style w:type="character" w:customStyle="1" w:styleId="CharChar1">
    <w:name w:val="表格内容格式 Char Char"/>
    <w:rPr>
      <w:rFonts w:ascii="宋体" w:hAnsi="宋体" w:cs="宋体"/>
      <w:kern w:val="2"/>
      <w:sz w:val="21"/>
    </w:rPr>
  </w:style>
  <w:style w:type="paragraph" w:customStyle="1" w:styleId="afe">
    <w:name w:val="一级标题"/>
    <w:basedOn w:val="1"/>
    <w:pPr>
      <w:spacing w:before="312" w:after="312"/>
    </w:pPr>
  </w:style>
  <w:style w:type="paragraph" w:customStyle="1" w:styleId="aff">
    <w:name w:val="表格内容格式+右对齐"/>
    <w:basedOn w:val="aff0"/>
    <w:pPr>
      <w:jc w:val="right"/>
    </w:pPr>
  </w:style>
  <w:style w:type="paragraph" w:customStyle="1" w:styleId="aff0">
    <w:name w:val="表格内容格式+左对齐"/>
    <w:basedOn w:val="afc"/>
    <w:pPr>
      <w:jc w:val="left"/>
    </w:pPr>
  </w:style>
  <w:style w:type="paragraph" w:customStyle="1" w:styleId="aff1">
    <w:name w:val="脚注格式"/>
    <w:basedOn w:val="a"/>
    <w:pPr>
      <w:shd w:val="clear" w:color="auto" w:fill="FFFFFF"/>
      <w:spacing w:line="240" w:lineRule="auto"/>
      <w:jc w:val="left"/>
      <w:textAlignment w:val="top"/>
    </w:pPr>
    <w:rPr>
      <w:sz w:val="18"/>
      <w:szCs w:val="18"/>
    </w:rPr>
  </w:style>
  <w:style w:type="paragraph" w:customStyle="1" w:styleId="aff2">
    <w:name w:val="二级标题"/>
    <w:basedOn w:val="2"/>
    <w:pPr>
      <w:spacing w:before="156" w:after="156"/>
      <w:jc w:val="both"/>
    </w:pPr>
  </w:style>
  <w:style w:type="paragraph" w:customStyle="1" w:styleId="aff3">
    <w:name w:val="表格内容格式+左对齐+白色红底"/>
    <w:basedOn w:val="aff0"/>
    <w:rPr>
      <w:color w:val="FFFFFF"/>
      <w:shd w:val="clear" w:color="auto" w:fill="FF0000"/>
    </w:rPr>
  </w:style>
  <w:style w:type="paragraph" w:customStyle="1" w:styleId="aff4">
    <w:name w:val="表格内容格式+白色"/>
    <w:basedOn w:val="afc"/>
    <w:rPr>
      <w:color w:val="FFFFFF"/>
    </w:rPr>
  </w:style>
  <w:style w:type="paragraph" w:customStyle="1" w:styleId="aff5">
    <w:name w:val="表格内容格式+左对齐+白色"/>
    <w:basedOn w:val="aff0"/>
    <w:rPr>
      <w:color w:val="FFFFFF"/>
    </w:rPr>
  </w:style>
  <w:style w:type="paragraph" w:customStyle="1" w:styleId="aff6">
    <w:name w:val="样式 表格内容格式+右对齐"/>
    <w:basedOn w:val="afc"/>
    <w:pPr>
      <w:jc w:val="right"/>
    </w:pPr>
  </w:style>
  <w:style w:type="paragraph" w:customStyle="1" w:styleId="aff7">
    <w:name w:val="表格内容格式+左对齐单倍行距"/>
    <w:basedOn w:val="afc"/>
    <w:pPr>
      <w:spacing w:line="240" w:lineRule="auto"/>
      <w:jc w:val="left"/>
    </w:pPr>
  </w:style>
  <w:style w:type="paragraph" w:customStyle="1" w:styleId="ListParagraph">
    <w:name w:val="List Paragraph"/>
    <w:basedOn w:val="a"/>
    <w:uiPriority w:val="34"/>
    <w:qFormat/>
    <w:pPr>
      <w:ind w:firstLineChars="200" w:firstLine="420"/>
    </w:pPr>
  </w:style>
  <w:style w:type="paragraph" w:customStyle="1" w:styleId="Char20">
    <w:name w:val=" Char2"/>
    <w:basedOn w:val="a"/>
    <w:pPr>
      <w:spacing w:line="240" w:lineRule="auto"/>
    </w:pPr>
    <w:rPr>
      <w:rFonts w:ascii="仿宋_GB2312" w:eastAsia="仿宋_GB2312"/>
      <w:b/>
      <w:sz w:val="32"/>
      <w:szCs w:val="32"/>
    </w:rPr>
  </w:style>
  <w:style w:type="paragraph" w:customStyle="1" w:styleId="aff8">
    <w:name w:val="正文加粗"/>
    <w:basedOn w:val="a"/>
    <w:pPr>
      <w:ind w:firstLineChars="200" w:firstLine="482"/>
    </w:pPr>
    <w:rPr>
      <w:rFonts w:cs="宋体"/>
      <w:b/>
      <w:bCs/>
      <w:szCs w:val="20"/>
    </w:rPr>
  </w:style>
  <w:style w:type="paragraph" w:styleId="aff9">
    <w:name w:val="Revision"/>
    <w:uiPriority w:val="99"/>
    <w:unhideWhenUsed/>
    <w:rPr>
      <w:kern w:val="2"/>
      <w:sz w:val="21"/>
      <w:szCs w:val="24"/>
    </w:rPr>
  </w:style>
  <w:style w:type="character" w:customStyle="1" w:styleId="title">
    <w:name w:val="title"/>
  </w:style>
  <w:style w:type="paragraph" w:customStyle="1" w:styleId="even">
    <w:name w:val="even"/>
    <w:basedOn w:val="a"/>
    <w:pPr>
      <w:widowControl/>
      <w:spacing w:before="100" w:beforeAutospacing="1" w:after="100" w:afterAutospacing="1" w:line="240" w:lineRule="auto"/>
      <w:jc w:val="left"/>
    </w:pPr>
    <w:rPr>
      <w:rFonts w:ascii="宋体" w:hAnsi="宋体" w:cs="宋体"/>
      <w:kern w:val="0"/>
      <w:sz w:val="24"/>
    </w:rPr>
  </w:style>
  <w:style w:type="character" w:customStyle="1" w:styleId="jsh1name">
    <w:name w:val="js_h1_name"/>
  </w:style>
  <w:style w:type="paragraph" w:customStyle="1" w:styleId="part-title">
    <w:name w:val="part-title"/>
    <w:basedOn w:val="a"/>
    <w:pPr>
      <w:widowControl/>
      <w:spacing w:before="100" w:beforeAutospacing="1" w:after="100" w:afterAutospacing="1" w:line="240" w:lineRule="auto"/>
      <w:jc w:val="left"/>
    </w:pPr>
    <w:rPr>
      <w:rFonts w:ascii="宋体" w:hAnsi="宋体" w:cs="宋体"/>
      <w:kern w:val="0"/>
      <w:sz w:val="24"/>
    </w:rPr>
  </w:style>
  <w:style w:type="paragraph" w:customStyle="1" w:styleId="part-des">
    <w:name w:val="part-des"/>
    <w:basedOn w:val="a"/>
    <w:pPr>
      <w:widowControl/>
      <w:spacing w:before="100" w:beforeAutospacing="1" w:after="100" w:afterAutospacing="1" w:line="240" w:lineRule="auto"/>
      <w:jc w:val="left"/>
    </w:pPr>
    <w:rPr>
      <w:rFonts w:ascii="宋体" w:hAnsi="宋体" w:cs="宋体"/>
      <w:kern w:val="0"/>
      <w:sz w:val="24"/>
    </w:rPr>
  </w:style>
  <w:style w:type="character" w:styleId="affa">
    <w:name w:val="Unresolved Mention"/>
    <w:uiPriority w:val="99"/>
    <w:unhideWhenUsed/>
    <w:rPr>
      <w:color w:val="605E5C"/>
      <w:shd w:val="clear" w:color="auto" w:fill="E1DFDD"/>
    </w:rPr>
  </w:style>
  <w:style w:type="character" w:customStyle="1" w:styleId="2Char">
    <w:name w:val="标题 2 Char"/>
    <w:rPr>
      <w:rFonts w:eastAsia="黑体"/>
      <w:b/>
      <w:bCs/>
      <w:kern w:val="2"/>
      <w:sz w:val="28"/>
      <w:szCs w:val="32"/>
      <w:lang w:bidi="ar-SA"/>
    </w:rPr>
  </w:style>
  <w:style w:type="character" w:customStyle="1" w:styleId="3Char">
    <w:name w:val="标题 3 Char"/>
    <w:rPr>
      <w:rFonts w:eastAsia="宋体"/>
      <w:b/>
      <w:bCs/>
      <w:kern w:val="2"/>
      <w:sz w:val="21"/>
      <w:szCs w:val="28"/>
      <w:lang w:bidi="ar-SA"/>
    </w:rPr>
  </w:style>
  <w:style w:type="character" w:customStyle="1" w:styleId="Char3">
    <w:name w:val="页眉 Char"/>
    <w:rPr>
      <w:rFonts w:eastAsia="宋体"/>
      <w:kern w:val="2"/>
      <w:sz w:val="18"/>
      <w:szCs w:val="18"/>
      <w:lang w:val="en-US" w:eastAsia="zh-CN" w:bidi="ar-SA"/>
    </w:rPr>
  </w:style>
  <w:style w:type="character" w:customStyle="1" w:styleId="edep">
    <w:name w:val="ed_ep"/>
  </w:style>
  <w:style w:type="character" w:customStyle="1" w:styleId="1Char">
    <w:name w:val="标题 1 Char"/>
    <w:rPr>
      <w:rFonts w:eastAsia="黑体"/>
      <w:b/>
      <w:bCs/>
      <w:kern w:val="44"/>
      <w:sz w:val="30"/>
      <w:szCs w:val="44"/>
      <w:lang w:bidi="ar-SA"/>
    </w:rPr>
  </w:style>
  <w:style w:type="character" w:customStyle="1" w:styleId="2Char1">
    <w:name w:val="标题 2 Char1"/>
    <w:rPr>
      <w:rFonts w:eastAsia="黑体"/>
      <w:b/>
      <w:bCs/>
      <w:kern w:val="2"/>
      <w:sz w:val="28"/>
      <w:szCs w:val="32"/>
      <w:lang w:bidi="ar-SA"/>
    </w:rPr>
  </w:style>
  <w:style w:type="character" w:customStyle="1" w:styleId="3Char1">
    <w:name w:val="标题 3 Char1"/>
    <w:rPr>
      <w:rFonts w:eastAsia="宋体"/>
      <w:b/>
      <w:bCs/>
      <w:kern w:val="2"/>
      <w:sz w:val="21"/>
      <w:szCs w:val="28"/>
      <w:lang w:bidi="ar-SA"/>
    </w:rPr>
  </w:style>
  <w:style w:type="character" w:customStyle="1" w:styleId="show-img-bd">
    <w:name w:val="show-img-bd"/>
  </w:style>
  <w:style w:type="paragraph" w:customStyle="1" w:styleId="sy2">
    <w:name w:val="sy2级标题"/>
    <w:basedOn w:val="a"/>
    <w:next w:val="a"/>
    <w:qFormat/>
    <w:pPr>
      <w:keepNext/>
      <w:keepLines/>
      <w:spacing w:beforeLines="50" w:before="50" w:afterLines="50" w:after="50"/>
      <w:outlineLvl w:val="1"/>
    </w:pPr>
    <w:rPr>
      <w:b/>
      <w:bCs/>
      <w:sz w:val="32"/>
      <w:szCs w:val="32"/>
    </w:rPr>
  </w:style>
  <w:style w:type="paragraph" w:customStyle="1" w:styleId="sy3">
    <w:name w:val="sy3级标题"/>
    <w:basedOn w:val="2"/>
    <w:next w:val="a"/>
    <w:qFormat/>
    <w:pPr>
      <w:spacing w:before="156" w:after="156"/>
      <w:jc w:val="both"/>
      <w:outlineLvl w:val="2"/>
    </w:pPr>
    <w:rPr>
      <w:rFonts w:eastAsia="仿宋" w:cs="仿宋"/>
      <w:szCs w:val="28"/>
    </w:rPr>
  </w:style>
  <w:style w:type="paragraph" w:customStyle="1" w:styleId="sy4">
    <w:name w:val="sy4级标题"/>
    <w:basedOn w:val="a"/>
    <w:next w:val="a"/>
    <w:qFormat/>
    <w:pPr>
      <w:keepNext/>
      <w:keepLines/>
      <w:outlineLvl w:val="3"/>
    </w:pPr>
    <w:rPr>
      <w:b/>
      <w:bCs/>
    </w:rPr>
  </w:style>
  <w:style w:type="paragraph" w:customStyle="1" w:styleId="zy">
    <w:name w:val="zy图表标题格式"/>
    <w:basedOn w:val="a"/>
    <w:qFormat/>
    <w:pPr>
      <w:spacing w:beforeLines="50" w:before="50" w:afterLines="50" w:after="50"/>
      <w:jc w:val="center"/>
    </w:pPr>
    <w:rPr>
      <w:b/>
      <w:snapToGrid w:val="0"/>
      <w:color w:val="000000"/>
      <w:kern w:val="0"/>
      <w:sz w:val="24"/>
    </w:rPr>
  </w:style>
  <w:style w:type="paragraph" w:customStyle="1" w:styleId="sy">
    <w:name w:val="sy表格内容格式"/>
    <w:basedOn w:val="a"/>
    <w:qFormat/>
    <w:pPr>
      <w:adjustRightInd w:val="0"/>
      <w:snapToGrid w:val="0"/>
      <w:jc w:val="left"/>
    </w:pPr>
    <w:rPr>
      <w:rFonts w:ascii="仿宋" w:eastAsia="仿宋" w:hAnsi="仿宋"/>
      <w:szCs w:val="21"/>
    </w:rPr>
  </w:style>
  <w:style w:type="paragraph" w:customStyle="1" w:styleId="affb">
    <w:name w:val="目录标题"/>
    <w:basedOn w:val="a"/>
    <w:qFormat/>
    <w:pPr>
      <w:jc w:val="center"/>
    </w:pPr>
    <w:rPr>
      <w:rFonts w:ascii="黑体" w:eastAsia="黑体" w:hAnsi="黑体" w:cs="黑体" w:hint="eastAsia"/>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chart" Target="charts/chart1.xml"/><Relationship Id="rId63" Type="http://schemas.openxmlformats.org/officeDocument/2006/relationships/hyperlink" Target="https://analytics.zhihuiya.com/patent-view/abst?patentId=8eff3563-f712-4601-8e14-dc8141e88a34&amp;shareId=EC226B0F-E644-99CF-CBG6-C95420D33DBF&amp;from=EXPORT&amp;signature=LQozODXf3diVZOgvCxp8T31ItCJ7rP9lA6qX+FSdFhI=&amp;expire=94608000&amp;date=20250710T073103Z&amp;version=1.0" TargetMode="External"/><Relationship Id="rId68" Type="http://schemas.openxmlformats.org/officeDocument/2006/relationships/hyperlink" Target="https://analytics.zhihuiya.com/patent-view/abst?patentId=788ab996-84eb-45fd-a065-dde9df2b4884&amp;shareId=EC226B0F-E644-99CF-CBG6-C95420D33DBF&amp;from=EXPORT&amp;signature=RklMqw59vpgb8RAu5t0UrTygsaB3xisnWP1G1uvjQcM=&amp;expire=94608000&amp;date=20250710T073103Z&amp;version=1.0" TargetMode="External"/><Relationship Id="rId84" Type="http://schemas.openxmlformats.org/officeDocument/2006/relationships/hyperlink" Target="https://analytics.zhihuiya.com/patent-view/abst?patentId=6e4fab8a-8697-4847-a4d1-a3c51958954b&amp;shareId=3B5D1E79-44D5-7996-BDG3-2G3790F7067E&amp;from=EXPORT&amp;signature=EkYJqXftPzh24Xl47Eeo78l38lvzLGS5nWb4HUcsTHw=&amp;expire=94608000&amp;date=20250710T073525Z&amp;version=1.0" TargetMode="External"/><Relationship Id="rId89" Type="http://schemas.openxmlformats.org/officeDocument/2006/relationships/hyperlink" Target="https://analytics.zhihuiya.com/patent-view/abst?patentId=ab3097b2-6aea-48d5-94ba-24fa03290deb&amp;shareId=3B5D1E79-44D5-7996-BDG3-2G3790F7067E&amp;from=EXPORT&amp;signature=1zW6EGrf9nq+T1Dd/TXaR+6I8SJG+SSaDTXmRcuHsUo=&amp;expire=94608000&amp;date=20250710T073525Z&amp;version=1.0" TargetMode="External"/><Relationship Id="rId112" Type="http://schemas.openxmlformats.org/officeDocument/2006/relationships/hyperlink" Target="https://analytics.zhihuiya.com/patent-view/abst?patentId=b9e96659-4ee3-44bd-99d5-1ca99033d241&amp;shareId=3B5D1E79-44D5-7996-BDG3-2G3790F7067E&amp;from=EXPORT&amp;signature=kYs3lEZTD5uv63Q1YTZBRUc9BxpxCwBtxj3IQGqOJS0=&amp;expire=94608000&amp;date=20250710T073525Z&amp;version=1.0" TargetMode="External"/><Relationship Id="rId16" Type="http://schemas.openxmlformats.org/officeDocument/2006/relationships/image" Target="media/image3.png"/><Relationship Id="rId107" Type="http://schemas.openxmlformats.org/officeDocument/2006/relationships/hyperlink" Target="https://analytics.zhihuiya.com/patent-view/abst?patentId=275206b5-2edc-434e-80b6-1430e1856db6&amp;shareId=3B5D1E79-44D5-7996-BDG3-2G3790F7067E&amp;from=EXPORT&amp;signature=enFK6EZyHy+S0qCoflBu63GQFGphFI/S8RfOdPp/PVg=&amp;expire=94608000&amp;date=20250710T073525Z&amp;version=1.0" TargetMode="Externa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hyperlink" Target="https://analytics.zhihuiya.com/patent-view/abst?patentId=89dcfbe6-efa4-4b3d-982c-1c045ee5510a&amp;shareId=EC226B0F-E644-99CF-CBG6-C95420D33DBF&amp;from=EXPORT&amp;signature=neqYR19yYMLJjUVi1t+wQNuWu6GECnqymCBe3/VUWxg=&amp;expire=94608000&amp;date=20250710T073103Z&amp;version=1.0" TargetMode="External"/><Relationship Id="rId66" Type="http://schemas.openxmlformats.org/officeDocument/2006/relationships/hyperlink" Target="https://analytics.zhihuiya.com/patent-view/abst?patentId=ac3bc132-c99e-4b6d-aee6-6107cd2d0f40&amp;shareId=EC226B0F-E644-99CF-CBG6-C95420D33DBF&amp;from=EXPORT&amp;signature=4jjgk3IOh3LSZKdlshn9dLL7FJPGGDBYfjBqpnp2hsg=&amp;expire=94608000&amp;date=20250710T073103Z&amp;version=1.0" TargetMode="External"/><Relationship Id="rId74" Type="http://schemas.openxmlformats.org/officeDocument/2006/relationships/hyperlink" Target="https://analytics.zhihuiya.com/patent-view/abst?patentId=649f9568-2683-45b4-a987-285735fb5f67&amp;shareId=EC226B0F-E644-99CF-CBG6-C95420D33DBF&amp;from=EXPORT&amp;signature=okqDsnq4R9qXwtBhxyA5GQCyXuzZEIbr9nRwaN3ztMs=&amp;expire=94608000&amp;date=20250710T073103Z&amp;version=1.0" TargetMode="External"/><Relationship Id="rId79" Type="http://schemas.openxmlformats.org/officeDocument/2006/relationships/hyperlink" Target="https://analytics.zhihuiya.com/patent-view/abst?patentId=38bae99f-a96f-44b9-9233-24497f5ebc31&amp;shareId=EC226B0F-E644-99CF-CBG6-C95420D33DBF&amp;from=EXPORT&amp;signature=hyE/buVLblDUVwH0bV4jhBSfP3Ymb9b0GcJcwkbt3Mk=&amp;expire=94608000&amp;date=20250710T073103Z&amp;version=1.0" TargetMode="External"/><Relationship Id="rId87" Type="http://schemas.openxmlformats.org/officeDocument/2006/relationships/hyperlink" Target="https://analytics.zhihuiya.com/patent-view/abst?patentId=908c3ed1-a98e-4f6d-bdb2-eda730550ba5&amp;shareId=3B5D1E79-44D5-7996-BDG3-2G3790F7067E&amp;from=EXPORT&amp;signature=pAb0lJtXrMh2HemZqc+bBPAOCGzvyU94/lf0w5L7uWI=&amp;expire=94608000&amp;date=20250710T073525Z&amp;version=1.0" TargetMode="External"/><Relationship Id="rId102" Type="http://schemas.openxmlformats.org/officeDocument/2006/relationships/hyperlink" Target="https://analytics.zhihuiya.com/patent-view/abst?patentId=916b59bc-3b87-411e-9a47-6d827344cde2&amp;shareId=3B5D1E79-44D5-7996-BDG3-2G3790F7067E&amp;from=EXPORT&amp;signature=eoSTSyHiBxmFvYChCtM3PNyarasuYxcbQPJT9+0HESQ=&amp;expire=94608000&amp;date=20250710T073525Z&amp;version=1.0" TargetMode="External"/><Relationship Id="rId110" Type="http://schemas.openxmlformats.org/officeDocument/2006/relationships/hyperlink" Target="https://analytics.zhihuiya.com/patent-view/abst?patentId=e77aef75-ec67-4db2-9ec0-3692fbb81642&amp;shareId=3B5D1E79-44D5-7996-BDG3-2G3790F7067E&amp;from=EXPORT&amp;signature=jxDn9ERdHXcBMbFAqHUeXnCxeyltxbZz/oMi4tMi5o0=&amp;expire=94608000&amp;date=20250710T073525Z&amp;version=1.0" TargetMode="External"/><Relationship Id="rId115" Type="http://schemas.openxmlformats.org/officeDocument/2006/relationships/image" Target="media/image40.png"/><Relationship Id="rId5" Type="http://schemas.openxmlformats.org/officeDocument/2006/relationships/endnotes" Target="endnotes.xml"/><Relationship Id="rId61" Type="http://schemas.openxmlformats.org/officeDocument/2006/relationships/hyperlink" Target="https://analytics.zhihuiya.com/patent-view/abst?patentId=32e3c81e-e6ec-43e9-bf8a-46fb8ad4531e&amp;shareId=EC226B0F-E644-99CF-CBG6-C95420D33DBF&amp;from=EXPORT&amp;signature=ErirpRB2/ytRH+YX1RIb1NM0ScfoiwbeP0vFHg6yyt0=&amp;expire=94608000&amp;date=20250710T073103Z&amp;version=1.0" TargetMode="External"/><Relationship Id="rId82" Type="http://schemas.openxmlformats.org/officeDocument/2006/relationships/hyperlink" Target="https://analytics.zhihuiya.com/patent-view/abst?patentId=8c76c2eb-e4a3-44c3-adec-91a95f0c75b6&amp;shareId=EC226B0F-E644-99CF-CBG6-C95420D33DBF&amp;from=EXPORT&amp;signature=bqUvWvxMntVcpM8haREHzPwj/a0YFHZoP43Hb9vRiaQ=&amp;expire=94608000&amp;date=20250710T073103Z&amp;version=1.0" TargetMode="External"/><Relationship Id="rId90" Type="http://schemas.openxmlformats.org/officeDocument/2006/relationships/hyperlink" Target="https://analytics.zhihuiya.com/patent-view/abst?patentId=53ea88bd-c3b7-4b57-ab20-6198160455e8&amp;shareId=3B5D1E79-44D5-7996-BDG3-2G3790F7067E&amp;from=EXPORT&amp;signature=IDgwychGQgYUdXBuDmw49GVPNxZ/HB3qMBprh2v0nTc=&amp;expire=94608000&amp;date=20250710T073525Z&amp;version=1.0" TargetMode="External"/><Relationship Id="rId95" Type="http://schemas.openxmlformats.org/officeDocument/2006/relationships/hyperlink" Target="https://analytics.zhihuiya.com/patent-view/abst?patentId=4d858844-715d-4389-8654-c25a2978af22&amp;shareId=3B5D1E79-44D5-7996-BDG3-2G3790F7067E&amp;from=EXPORT&amp;signature=mcVjz5U8QtBeOhLZh73+WK0QXoncFI/ljptIQW/oTTM=&amp;expire=94608000&amp;date=20250710T073525Z&amp;version=1.0"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hyperlink" Target="https://analytics.zhihuiya.com/patent-view/abst?patentId=69216d5e-38f8-4f8a-ae00-bc29ad519d00&amp;shareId=EC226B0F-E644-99CF-CBG6-C95420D33DBF&amp;from=EXPORT&amp;signature=OCUl55JwkQE8BMjV/SbC+KJfwwbnzEHYq5h/8pms9DY=&amp;expire=94608000&amp;date=20250710T073103Z&amp;version=1.0" TargetMode="External"/><Relationship Id="rId64" Type="http://schemas.openxmlformats.org/officeDocument/2006/relationships/hyperlink" Target="https://analytics.zhihuiya.com/patent-view/abst?patentId=de3b1fcb-bdf0-4981-9ba2-4468ac028d97&amp;shareId=EC226B0F-E644-99CF-CBG6-C95420D33DBF&amp;from=EXPORT&amp;signature=eVR1rKldcVCD2/2FzvgpO6CeBSwvTM9eVOYn8pC5jtU=&amp;expire=94608000&amp;date=20250710T073103Z&amp;version=1.0" TargetMode="External"/><Relationship Id="rId69" Type="http://schemas.openxmlformats.org/officeDocument/2006/relationships/hyperlink" Target="https://analytics.zhihuiya.com/patent-view/abst?patentId=64624d2e-eb58-427c-9781-9b7b1a064e1b&amp;shareId=EC226B0F-E644-99CF-CBG6-C95420D33DBF&amp;from=EXPORT&amp;signature=sgk45WRPz5GgXyOVRSGcXYrzYvKYrxLumgBuHV7CgOs=&amp;expire=94608000&amp;date=20250710T073103Z&amp;version=1.0" TargetMode="External"/><Relationship Id="rId77" Type="http://schemas.openxmlformats.org/officeDocument/2006/relationships/hyperlink" Target="https://analytics.zhihuiya.com/patent-view/abst?patentId=dc577d0f-0002-424b-8c3b-41c189b01f8b&amp;shareId=EC226B0F-E644-99CF-CBG6-C95420D33DBF&amp;from=EXPORT&amp;signature=dpPEqN6EW7jEy1sD9EBz33Pm8uC2q0mrJL35ezGDeZY=&amp;expire=94608000&amp;date=20250710T073103Z&amp;version=1.0" TargetMode="External"/><Relationship Id="rId100" Type="http://schemas.openxmlformats.org/officeDocument/2006/relationships/hyperlink" Target="https://analytics.zhihuiya.com/patent-view/abst?patentId=00d267ae-318e-40f9-8049-4397aaa78b81&amp;shareId=3B5D1E79-44D5-7996-BDG3-2G3790F7067E&amp;from=EXPORT&amp;signature=o1kKoBXIL3w5xG4YLcOoPs+i+K+DIX2QejRmM8P025c=&amp;expire=94608000&amp;date=20250710T073525Z&amp;version=1.0" TargetMode="External"/><Relationship Id="rId105" Type="http://schemas.openxmlformats.org/officeDocument/2006/relationships/hyperlink" Target="https://analytics.zhihuiya.com/patent-view/abst?patentId=0cf6e710-549d-4e37-83f5-432f3755efb3&amp;shareId=3B5D1E79-44D5-7996-BDG3-2G3790F7067E&amp;from=EXPORT&amp;signature=BfQA0xeOmCXafmos8H0LVinvf9nNxkD3//iJ6PKMqJE=&amp;expire=94608000&amp;date=20250710T073525Z&amp;version=1.0" TargetMode="External"/><Relationship Id="rId113" Type="http://schemas.openxmlformats.org/officeDocument/2006/relationships/hyperlink" Target="https://analytics.zhihuiya.com/patent-view/abst?patentId=2a44cc5d-725f-4a85-8bd7-d07d8cfa07b2&amp;shareId=3B5D1E79-44D5-7996-BDG3-2G3790F7067E&amp;from=EXPORT&amp;signature=E1Y719YDITSFkvcl+NUq1NhNzNu3Ws1QcAnTXhuRhxM=&amp;expire=94608000&amp;date=20250710T073525Z&amp;version=1.0" TargetMode="External"/><Relationship Id="rId118"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36.png"/><Relationship Id="rId72" Type="http://schemas.openxmlformats.org/officeDocument/2006/relationships/hyperlink" Target="https://analytics.zhihuiya.com/patent-view/abst?patentId=11319c90-9ca1-4723-a409-72f85d40e474&amp;shareId=EC226B0F-E644-99CF-CBG6-C95420D33DBF&amp;from=EXPORT&amp;signature=14x6LI73QBvjPrxSfHw9n1yzKgqoi7WMb2lAqxl0FZk=&amp;expire=94608000&amp;date=20250710T073103Z&amp;version=1.0" TargetMode="External"/><Relationship Id="rId80" Type="http://schemas.openxmlformats.org/officeDocument/2006/relationships/hyperlink" Target="https://analytics.zhihuiya.com/patent-view/abst?patentId=a1941691-32e7-41f5-b3a1-962f34c66b1c&amp;shareId=EC226B0F-E644-99CF-CBG6-C95420D33DBF&amp;from=EXPORT&amp;signature=Xhmdf8hBCMm9TzFaYZHklA4V00pcqylI3214k9GgFNI=&amp;expire=94608000&amp;date=20250710T073103Z&amp;version=1.0" TargetMode="External"/><Relationship Id="rId85" Type="http://schemas.openxmlformats.org/officeDocument/2006/relationships/hyperlink" Target="https://analytics.zhihuiya.com/patent-view/abst?patentId=ef884f06-653b-4995-86d2-370d81b7920e&amp;shareId=3B5D1E79-44D5-7996-BDG3-2G3790F7067E&amp;from=EXPORT&amp;signature=s9I0nLfyNwm88jjyFEwP+K1h7Ri42DG8QHlPt3W9MdM=&amp;expire=94608000&amp;date=20250710T073525Z&amp;version=1.0" TargetMode="External"/><Relationship Id="rId93" Type="http://schemas.openxmlformats.org/officeDocument/2006/relationships/hyperlink" Target="https://analytics.zhihuiya.com/patent-view/abst?patentId=7e4d2795-6be1-4de6-b109-1979463d8492&amp;shareId=3B5D1E79-44D5-7996-BDG3-2G3790F7067E&amp;from=EXPORT&amp;signature=KsVjoUf13e78tnbR16oBPA96FhRMsWbS1I2KUjfIDiI=&amp;expire=94608000&amp;date=20250710T073525Z&amp;version=1.0" TargetMode="External"/><Relationship Id="rId98" Type="http://schemas.openxmlformats.org/officeDocument/2006/relationships/hyperlink" Target="https://analytics.zhihuiya.com/patent-view/abst?patentId=eec7dcff-12e9-4367-93e2-e018586e1878&amp;shareId=3B5D1E79-44D5-7996-BDG3-2G3790F7067E&amp;from=EXPORT&amp;signature=hJPwgXFKNI5GfNbEZGbK2rz2rO3ihmiYWsRZhr3Vq8Q=&amp;expire=94608000&amp;date=20250710T073525Z&amp;version=1.0" TargetMode="Externa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6.xml"/><Relationship Id="rId46" Type="http://schemas.openxmlformats.org/officeDocument/2006/relationships/image" Target="media/image32.png"/><Relationship Id="rId59" Type="http://schemas.openxmlformats.org/officeDocument/2006/relationships/hyperlink" Target="https://analytics.zhihuiya.com/patent-view/abst?patentId=0e41f845-8e15-423f-b651-a58c9f5fc684&amp;shareId=EC226B0F-E644-99CF-CBG6-C95420D33DBF&amp;from=EXPORT&amp;signature=rHZuINl3YMfzF6/2AFBxVMqj93TteOSyeHCg69s24DA=&amp;expire=94608000&amp;date=20250710T073103Z&amp;version=1.0" TargetMode="External"/><Relationship Id="rId67" Type="http://schemas.openxmlformats.org/officeDocument/2006/relationships/hyperlink" Target="https://analytics.zhihuiya.com/patent-view/abst?patentId=618e8484-0954-430c-8d32-af41b39f51f5&amp;shareId=EC226B0F-E644-99CF-CBG6-C95420D33DBF&amp;from=EXPORT&amp;signature=JXfti6Di6xaB4fGPxFF0CePVpFhmcKPiqrzv5Jzpaa8=&amp;expire=94608000&amp;date=20250710T073103Z&amp;version=1.0" TargetMode="External"/><Relationship Id="rId103" Type="http://schemas.openxmlformats.org/officeDocument/2006/relationships/hyperlink" Target="https://analytics.zhihuiya.com/patent-view/abst?patentId=5e3b8df4-15e1-4e00-84d3-d088218c4943&amp;shareId=3B5D1E79-44D5-7996-BDG3-2G3790F7067E&amp;from=EXPORT&amp;signature=oyuUJR1YK0ETlO5Rmrny/nupHlJLYae8vNaHbdOsgpc=&amp;expire=94608000&amp;date=20250710T073525Z&amp;version=1.0" TargetMode="External"/><Relationship Id="rId108" Type="http://schemas.openxmlformats.org/officeDocument/2006/relationships/hyperlink" Target="https://analytics.zhihuiya.com/patent-view/abst?patentId=a6e2f568-8a20-46e7-a85a-f4cbd6c383e7&amp;shareId=3B5D1E79-44D5-7996-BDG3-2G3790F7067E&amp;from=EXPORT&amp;signature=rlJW6SskakfhRYMpPxX1NmH/HjWT2ctxALlBik1VknU=&amp;expire=94608000&amp;date=20250710T073525Z&amp;version=1.0" TargetMode="External"/><Relationship Id="rId116"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s://analytics.zhihuiya.com/patent-view/abst?patentId=38b92af3-f865-409b-9283-664fd05790d3&amp;shareId=EC226B0F-E644-99CF-CBG6-C95420D33DBF&amp;from=EXPORT&amp;signature=xe9j/JCSSEO++oBgFndWxmLs/mpeIOHgor9xdeczLCs=&amp;expire=94608000&amp;date=20250710T073103Z&amp;version=1.0" TargetMode="External"/><Relationship Id="rId62" Type="http://schemas.openxmlformats.org/officeDocument/2006/relationships/hyperlink" Target="https://analytics.zhihuiya.com/patent-view/abst?patentId=339a0744-dfb3-420b-b4ee-cd68f5327a70&amp;shareId=EC226B0F-E644-99CF-CBG6-C95420D33DBF&amp;from=EXPORT&amp;signature=dXHrqaZDgNrx4H1dYt3KcK/eEOAV/mPajn4IdW48KkE=&amp;expire=94608000&amp;date=20250710T073103Z&amp;version=1.0" TargetMode="External"/><Relationship Id="rId70" Type="http://schemas.openxmlformats.org/officeDocument/2006/relationships/hyperlink" Target="https://analytics.zhihuiya.com/patent-view/abst?patentId=d620ad28-ea76-46cb-99c2-ee8bf1e46650&amp;shareId=EC226B0F-E644-99CF-CBG6-C95420D33DBF&amp;from=EXPORT&amp;signature=0JJosKz/rhMtFHIH8W5sYE0XozLHoK1JoI41K3RxCQU=&amp;expire=94608000&amp;date=20250710T073103Z&amp;version=1.0" TargetMode="External"/><Relationship Id="rId75" Type="http://schemas.openxmlformats.org/officeDocument/2006/relationships/hyperlink" Target="https://analytics.zhihuiya.com/patent-view/abst?patentId=e2907c38-98dd-44f7-b76f-a07bca99f539&amp;shareId=EC226B0F-E644-99CF-CBG6-C95420D33DBF&amp;from=EXPORT&amp;signature=qwHe9WAwq7y8p1R1JSgVOKfgW3rzRaRoCyJ1MP8t/P4=&amp;expire=94608000&amp;date=20250710T073103Z&amp;version=1.0" TargetMode="External"/><Relationship Id="rId83" Type="http://schemas.openxmlformats.org/officeDocument/2006/relationships/hyperlink" Target="https://analytics.zhihuiya.com/patent-view/abst?patentId=15de3002-fe3a-4a46-8ba2-b0331e02be01&amp;shareId=EC226B0F-E644-99CF-CBG6-C95420D33DBF&amp;from=EXPORT&amp;signature=KAM8ViMXSbDMrZm2xqARIijys8nA6KhPoQg5R6+dqRI=&amp;expire=94608000&amp;date=20250710T073103Z&amp;version=1.0" TargetMode="External"/><Relationship Id="rId88" Type="http://schemas.openxmlformats.org/officeDocument/2006/relationships/hyperlink" Target="https://analytics.zhihuiya.com/patent-view/abst?patentId=fe4e3826-7c9c-4087-a21d-df9aea2daa3f&amp;shareId=3B5D1E79-44D5-7996-BDG3-2G3790F7067E&amp;from=EXPORT&amp;signature=EaR+j5r13xDv8VQ4k93XblRlIFtAPbZwnU/11D5WSp4=&amp;expire=94608000&amp;date=20250710T073525Z&amp;version=1.0" TargetMode="External"/><Relationship Id="rId91" Type="http://schemas.openxmlformats.org/officeDocument/2006/relationships/hyperlink" Target="https://analytics.zhihuiya.com/patent-view/abst?patentId=d2b81420-6d16-4775-bb78-7c304305a9f9&amp;shareId=3B5D1E79-44D5-7996-BDG3-2G3790F7067E&amp;from=EXPORT&amp;signature=XUhwK7XQfPwGyDmmNTXQi8JuQhxwenjTjwLMYQ7gh/k=&amp;expire=94608000&amp;date=20250710T073525Z&amp;version=1.0" TargetMode="External"/><Relationship Id="rId96" Type="http://schemas.openxmlformats.org/officeDocument/2006/relationships/hyperlink" Target="https://analytics.zhihuiya.com/patent-view/abst?patentId=f345ac81-e081-4aec-aedc-4f05eae369d0&amp;shareId=3B5D1E79-44D5-7996-BDG3-2G3790F7067E&amp;from=EXPORT&amp;signature=Q99olt1TzkTjgvJcsufzPAjL4cTi96NHROYt2Z/DBAQ=&amp;expire=94608000&amp;date=20250710T073525Z&amp;version=1.0" TargetMode="External"/><Relationship Id="rId111" Type="http://schemas.openxmlformats.org/officeDocument/2006/relationships/hyperlink" Target="https://analytics.zhihuiya.com/patent-view/abst?patentId=f20280da-9eca-43dd-bde5-bee0fce2d244&amp;shareId=3B5D1E79-44D5-7996-BDG3-2G3790F7067E&amp;from=EXPORT&amp;signature=L7WZzEdrt4b7sGKS2Ls2UL8PSGLJZg3x+Z3LaNgPGaM=&amp;expire=94608000&amp;date=20250710T073525Z&amp;version=1.0" TargetMode="Externa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yperlink" Target="https://analytics.zhihuiya.com/patent-view/abst?patentId=97ba4a34-fe09-48f5-a985-e0ddd19353e5&amp;shareId=EC226B0F-E644-99CF-CBG6-C95420D33DBF&amp;from=EXPORT&amp;signature=CV1W8GOaKTziwNCMiACZ0pqJxN+rlzFcZ5dmlz724eM=&amp;expire=94608000&amp;date=20250710T073103Z&amp;version=1.0" TargetMode="External"/><Relationship Id="rId106" Type="http://schemas.openxmlformats.org/officeDocument/2006/relationships/hyperlink" Target="https://analytics.zhihuiya.com/patent-view/abst?patentId=3155377b-8dfe-4ad1-b745-6425f03146ae&amp;shareId=3B5D1E79-44D5-7996-BDG3-2G3790F7067E&amp;from=EXPORT&amp;signature=Q2W0HjUiEFZf2fHFj7/IImnOcdPKKjs7/0zvny326RA=&amp;expire=94608000&amp;date=20250710T073525Z&amp;version=1.0" TargetMode="External"/><Relationship Id="rId114" Type="http://schemas.openxmlformats.org/officeDocument/2006/relationships/image" Target="media/image39.png"/><Relationship Id="rId10"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s://analytics.zhihuiya.com/patent-view/abst?patentId=032f7855-d84b-4d38-acf2-3caba459f8cc&amp;shareId=EC226B0F-E644-99CF-CBG6-C95420D33DBF&amp;from=EXPORT&amp;signature=++hdm+FQPk2EPGHWBuHHcVESyUTgeFx8z5HwXJNmtaE=&amp;expire=94608000&amp;date=20250710T073103Z&amp;version=1.0" TargetMode="External"/><Relationship Id="rId65" Type="http://schemas.openxmlformats.org/officeDocument/2006/relationships/hyperlink" Target="https://analytics.zhihuiya.com/patent-view/abst?patentId=89a8b980-a71c-46ae-b372-646d65080051&amp;shareId=EC226B0F-E644-99CF-CBG6-C95420D33DBF&amp;from=EXPORT&amp;signature=d4w+GXotR1JLJPuGf6HXHJ+mTT8C0Gvy7iV5EhRmpIo=&amp;expire=94608000&amp;date=20250710T073103Z&amp;version=1.0" TargetMode="External"/><Relationship Id="rId73" Type="http://schemas.openxmlformats.org/officeDocument/2006/relationships/hyperlink" Target="https://analytics.zhihuiya.com/patent-view/abst?patentId=d532c1b0-c9b0-4d23-8953-cdba194505b5&amp;shareId=EC226B0F-E644-99CF-CBG6-C95420D33DBF&amp;from=EXPORT&amp;signature=fhvqyK8kI4MziglPXq5k7OC1pPszong0MrjRyUHtmqY=&amp;expire=94608000&amp;date=20250710T073103Z&amp;version=1.0" TargetMode="External"/><Relationship Id="rId78" Type="http://schemas.openxmlformats.org/officeDocument/2006/relationships/hyperlink" Target="https://analytics.zhihuiya.com/patent-view/abst?patentId=b9fd9ba2-7331-4ded-92e5-1dabe0bf57dd&amp;shareId=EC226B0F-E644-99CF-CBG6-C95420D33DBF&amp;from=EXPORT&amp;signature=CnzXgP3tM+xT6a5b4mHdvi7ohLObTXegweFHfs4izMo=&amp;expire=94608000&amp;date=20250710T073103Z&amp;version=1.0" TargetMode="External"/><Relationship Id="rId81" Type="http://schemas.openxmlformats.org/officeDocument/2006/relationships/hyperlink" Target="https://analytics.zhihuiya.com/patent-view/abst?patentId=aa34faa5-308f-4d32-8f5d-9851bbc319e2&amp;shareId=EC226B0F-E644-99CF-CBG6-C95420D33DBF&amp;from=EXPORT&amp;signature=p875zVFF5JzwB1aOQbb/wrWNA8KLl9X6tEtkp+yU0m8=&amp;expire=94608000&amp;date=20250710T073103Z&amp;version=1.0" TargetMode="External"/><Relationship Id="rId86" Type="http://schemas.openxmlformats.org/officeDocument/2006/relationships/hyperlink" Target="https://analytics.zhihuiya.com/patent-view/abst?patentId=1e071066-e3cf-420e-b90c-d8d99777de7e&amp;shareId=3B5D1E79-44D5-7996-BDG3-2G3790F7067E&amp;from=EXPORT&amp;signature=4iX0/pFaupjB63g1dr0XapgVXnguCInSyDU98LAZQkc=&amp;expire=94608000&amp;date=20250710T073525Z&amp;version=1.0" TargetMode="External"/><Relationship Id="rId94" Type="http://schemas.openxmlformats.org/officeDocument/2006/relationships/hyperlink" Target="https://analytics.zhihuiya.com/patent-view/abst?patentId=45e607fd-9acd-4138-ac16-b467c2f53a66&amp;shareId=3B5D1E79-44D5-7996-BDG3-2G3790F7067E&amp;from=EXPORT&amp;signature=61KLRWRz7w9ZvkyVUBRDaF1RWnW97J6hlIsLENqin+0=&amp;expire=94608000&amp;date=20250710T073525Z&amp;version=1.0" TargetMode="External"/><Relationship Id="rId99" Type="http://schemas.openxmlformats.org/officeDocument/2006/relationships/hyperlink" Target="https://analytics.zhihuiya.com/patent-view/abst?patentId=a7f6855e-fb6a-4b2c-ad84-d8154fc4af17&amp;shareId=3B5D1E79-44D5-7996-BDG3-2G3790F7067E&amp;from=EXPORT&amp;signature=XEh2tM4HAioh1b4aaHF1JdMkItiu5fXYK99ChLkCcSg=&amp;expire=94608000&amp;date=20250710T073525Z&amp;version=1.0" TargetMode="External"/><Relationship Id="rId101" Type="http://schemas.openxmlformats.org/officeDocument/2006/relationships/hyperlink" Target="https://analytics.zhihuiya.com/patent-view/abst?patentId=75e54eed-7d7e-42f0-96f1-692ec49cbba5&amp;shareId=3B5D1E79-44D5-7996-BDG3-2G3790F7067E&amp;from=EXPORT&amp;signature=iOqtTtbhQYGeXPkHatBg4hjt0HvGTJCjN61RYziqKoU=&amp;expire=94608000&amp;date=20250710T073525Z&amp;version=1.0" TargetMode="Externa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yperlink" Target="https://analytics.zhihuiya.com/patent-view/abst?patentId=77f1d52a-58e2-42ed-a19a-b00c469c95c8&amp;shareId=3B5D1E79-44D5-7996-BDG3-2G3790F7067E&amp;from=EXPORT&amp;signature=4wUErYBa37dwdgOyZ2HOyJ/UtToH4WO/lxqrQHl1Fqo=&amp;expire=94608000&amp;date=20250710T073525Z&amp;version=1.0" TargetMode="External"/><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hyperlink" Target="https://analytics.zhihuiya.com/patent-view/abst?patentId=8a7f68e1-d0d3-4e6d-a628-65d68b2ec9ea&amp;shareId=EC226B0F-E644-99CF-CBG6-C95420D33DBF&amp;from=EXPORT&amp;signature=mdDkW0ku0lK1OAfwxk3xONMZnPhIK1YqFZRLLPGXDj8=&amp;expire=94608000&amp;date=20250710T073103Z&amp;version=1.0" TargetMode="External"/><Relationship Id="rId76" Type="http://schemas.openxmlformats.org/officeDocument/2006/relationships/hyperlink" Target="https://analytics.zhihuiya.com/patent-view/abst?patentId=1fc826b2-63c4-45f0-89d9-39faff0c24e4&amp;shareId=EC226B0F-E644-99CF-CBG6-C95420D33DBF&amp;from=EXPORT&amp;signature=l2hD4kSUNrTn+fYGMginCdSF3/53F9xOL9tpcf5Pgic=&amp;expire=94608000&amp;date=20250710T073103Z&amp;version=1.0" TargetMode="External"/><Relationship Id="rId97" Type="http://schemas.openxmlformats.org/officeDocument/2006/relationships/hyperlink" Target="https://analytics.zhihuiya.com/patent-view/abst?patentId=534ebe1b-e403-4e5c-aa96-083116f319fc&amp;shareId=3B5D1E79-44D5-7996-BDG3-2G3790F7067E&amp;from=EXPORT&amp;signature=1NH0H0JigT3h4eE1Ac2G6EwfKClx3edOmE722B5yP90=&amp;expire=94608000&amp;date=20250710T073525Z&amp;version=1.0" TargetMode="External"/><Relationship Id="rId104" Type="http://schemas.openxmlformats.org/officeDocument/2006/relationships/hyperlink" Target="https://analytics.zhihuiya.com/patent-view/abst?patentId=14ef5f7a-01e7-49c9-87a8-f40891c0d4ce&amp;shareId=3B5D1E79-44D5-7996-BDG3-2G3790F7067E&amp;from=EXPORT&amp;signature=L9g259976JuUDPqiAoF+H+KQW67CVoNxMjkel6R/dTo=&amp;expire=94608000&amp;date=20250710T073525Z&amp;version=1.0" TargetMode="External"/><Relationship Id="rId7" Type="http://schemas.openxmlformats.org/officeDocument/2006/relationships/header" Target="header1.xml"/><Relationship Id="rId71" Type="http://schemas.openxmlformats.org/officeDocument/2006/relationships/hyperlink" Target="https://analytics.zhihuiya.com/patent-view/abst?patentId=fb2f9793-7919-4dbe-9aee-7a1fcb2f036f&amp;shareId=EC226B0F-E644-99CF-CBG6-C95420D33DBF&amp;from=EXPORT&amp;signature=pSEERiM0Rmnv+aCjgdwRALfrbAIUmiwS7Zlqg5rKRBw=&amp;expire=94608000&amp;date=20250710T073103Z&amp;version=1.0" TargetMode="External"/><Relationship Id="rId92" Type="http://schemas.openxmlformats.org/officeDocument/2006/relationships/hyperlink" Target="https://analytics.zhihuiya.com/patent-view/abst?patentId=c597a10a-9c8c-4fb8-9ed4-d703c7218eef&amp;shareId=3B5D1E79-44D5-7996-BDG3-2G3790F7067E&amp;from=EXPORT&amp;signature=NhfOLFAL9/GeG+0N2pVLdzix2tBtiwFRjIvVJl9/5Xk=&amp;expire=94608000&amp;date=20250710T073525Z&amp;version=1.0" TargetMode="External"/><Relationship Id="rId2" Type="http://schemas.openxmlformats.org/officeDocument/2006/relationships/settings" Target="settings.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E:\&#26446;&#22806;\&#23548;&#33322;&#25253;&#21578;\25&#24180;\&#20445;&#25252;&#20013;&#24515;-OLED&#21457;&#20809;&#26448;&#26009;\4.1.2&#32472;&#22270;--&#21355;&#26143;&#36965;&#2486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'[4.1.2绘图--卫星遥感.xls]Sheet1'!$C$4</c:f>
              <c:strCache>
                <c:ptCount val="1"/>
                <c:pt idx="0">
                  <c:v>全球申请</c:v>
                </c:pt>
              </c:strCache>
            </c:strRef>
          </c:tx>
          <c:spPr>
            <a:ln w="28575" cap="rnd" cmpd="sng" algn="ctr">
              <a:solidFill>
                <a:srgbClr val="4F81BD"/>
              </a:solidFill>
              <a:prstDash val="solid"/>
              <a:round/>
            </a:ln>
            <a:effectLst/>
          </c:spPr>
          <c:marker>
            <c:symbol val="circle"/>
            <c:size val="5"/>
            <c:spPr>
              <a:solidFill>
                <a:srgbClr val="4F81BD"/>
              </a:solidFill>
              <a:ln w="9525" cap="flat" cmpd="sng" algn="ctr">
                <a:solidFill>
                  <a:srgbClr val="4F81BD"/>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'[4.1.2绘图--卫星遥感.xls]Sheet1'!$B$5:$B$14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'[4.1.2绘图--卫星遥感.xls]Sheet1'!$C$5:$C$14</c:f>
              <c:numCache>
                <c:formatCode>General</c:formatCode>
                <c:ptCount val="10"/>
                <c:pt idx="0">
                  <c:v>2404</c:v>
                </c:pt>
                <c:pt idx="1">
                  <c:v>2606</c:v>
                </c:pt>
                <c:pt idx="2">
                  <c:v>2645</c:v>
                </c:pt>
                <c:pt idx="3">
                  <c:v>3096</c:v>
                </c:pt>
                <c:pt idx="4">
                  <c:v>3339</c:v>
                </c:pt>
                <c:pt idx="5">
                  <c:v>3283</c:v>
                </c:pt>
                <c:pt idx="6">
                  <c:v>3010</c:v>
                </c:pt>
                <c:pt idx="7">
                  <c:v>2118</c:v>
                </c:pt>
                <c:pt idx="8">
                  <c:v>1108</c:v>
                </c:pt>
                <c:pt idx="9">
                  <c:v>693</c:v>
                </c:pt>
              </c:numCache>
            </c:numRef>
          </c:val>
          <c:smooth val="0"/>
          <c:extLst>
            <c:ext xmlns:c16="http://schemas.microsoft.com/office/drawing/2014/chart" uri="{C3380CC4-5D6E-409C-BE32-E72D297353CC}">
              <c16:uniqueId val="{00000000-813B-4234-8173-9DB7C547ABFD}"/>
            </c:ext>
          </c:extLst>
        </c:ser>
        <c:ser>
          <c:idx val="1"/>
          <c:order val="1"/>
          <c:tx>
            <c:strRef>
              <c:f>'[4.1.2绘图--卫星遥感.xls]Sheet1'!$D$4</c:f>
              <c:strCache>
                <c:ptCount val="1"/>
                <c:pt idx="0">
                  <c:v>中国申请</c:v>
                </c:pt>
              </c:strCache>
            </c:strRef>
          </c:tx>
          <c:spPr>
            <a:ln w="28575" cap="rnd" cmpd="sng" algn="ctr">
              <a:solidFill>
                <a:srgbClr val="C0504D"/>
              </a:solidFill>
              <a:prstDash val="solid"/>
              <a:round/>
            </a:ln>
            <a:effectLst/>
          </c:spPr>
          <c:marker>
            <c:symbol val="circle"/>
            <c:size val="5"/>
            <c:spPr>
              <a:solidFill>
                <a:srgbClr val="C0504D"/>
              </a:solidFill>
              <a:ln w="9525" cap="flat" cmpd="sng" algn="ctr">
                <a:solidFill>
                  <a:srgbClr val="C0504D"/>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'[4.1.2绘图--卫星遥感.xls]Sheet1'!$B$5:$B$14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'[4.1.2绘图--卫星遥感.xls]Sheet1'!$D$5:$D$14</c:f>
              <c:numCache>
                <c:formatCode>General</c:formatCode>
                <c:ptCount val="10"/>
                <c:pt idx="0">
                  <c:v>588</c:v>
                </c:pt>
                <c:pt idx="1">
                  <c:v>865</c:v>
                </c:pt>
                <c:pt idx="2">
                  <c:v>1142</c:v>
                </c:pt>
                <c:pt idx="3">
                  <c:v>1487</c:v>
                </c:pt>
                <c:pt idx="4">
                  <c:v>1467</c:v>
                </c:pt>
                <c:pt idx="5">
                  <c:v>1603</c:v>
                </c:pt>
                <c:pt idx="6">
                  <c:v>1349</c:v>
                </c:pt>
                <c:pt idx="7">
                  <c:v>874</c:v>
                </c:pt>
                <c:pt idx="8">
                  <c:v>504</c:v>
                </c:pt>
                <c:pt idx="9">
                  <c:v>389</c:v>
                </c:pt>
              </c:numCache>
            </c:numRef>
          </c:val>
          <c:smooth val="0"/>
          <c:extLst>
            <c:ext xmlns:c16="http://schemas.microsoft.com/office/drawing/2014/chart" uri="{C3380CC4-5D6E-409C-BE32-E72D297353CC}">
              <c16:uniqueId val="{00000001-813B-4234-8173-9DB7C547ABFD}"/>
            </c:ext>
          </c:extLst>
        </c:ser>
        <c:ser>
          <c:idx val="2"/>
          <c:order val="2"/>
          <c:tx>
            <c:strRef>
              <c:f>'[4.1.2绘图--卫星遥感.xls]Sheet1'!$E$4</c:f>
              <c:strCache>
                <c:ptCount val="1"/>
                <c:pt idx="0">
                  <c:v>吉林省申请</c:v>
                </c:pt>
              </c:strCache>
            </c:strRef>
          </c:tx>
          <c:spPr>
            <a:ln w="28575" cap="rnd" cmpd="sng" algn="ctr">
              <a:solidFill>
                <a:srgbClr val="9BBB59"/>
              </a:solidFill>
              <a:prstDash val="solid"/>
              <a:round/>
            </a:ln>
            <a:effectLst/>
          </c:spPr>
          <c:marker>
            <c:symbol val="circle"/>
            <c:size val="5"/>
            <c:spPr>
              <a:solidFill>
                <a:srgbClr val="9BBB59"/>
              </a:solidFill>
              <a:ln w="9525" cap="flat" cmpd="sng" algn="ctr">
                <a:solidFill>
                  <a:srgbClr val="9BBB59"/>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404040">
                        <a:lumMod val="75000"/>
                        <a:lumOff val="25000"/>
                      </a:srgb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'[4.1.2绘图--卫星遥感.xls]Sheet1'!$B$5:$B$14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'[4.1.2绘图--卫星遥感.xls]Sheet1'!$E$5:$E$14</c:f>
              <c:numCache>
                <c:formatCode>General</c:formatCode>
                <c:ptCount val="10"/>
                <c:pt idx="0">
                  <c:v>7</c:v>
                </c:pt>
                <c:pt idx="1">
                  <c:v>20</c:v>
                </c:pt>
                <c:pt idx="2">
                  <c:v>64</c:v>
                </c:pt>
                <c:pt idx="3">
                  <c:v>212</c:v>
                </c:pt>
                <c:pt idx="4">
                  <c:v>45</c:v>
                </c:pt>
                <c:pt idx="5">
                  <c:v>49</c:v>
                </c:pt>
                <c:pt idx="6">
                  <c:v>73</c:v>
                </c:pt>
                <c:pt idx="7">
                  <c:v>67</c:v>
                </c:pt>
                <c:pt idx="8">
                  <c:v>67</c:v>
                </c:pt>
                <c:pt idx="9">
                  <c:v>76</c:v>
                </c:pt>
              </c:numCache>
            </c:numRef>
          </c:val>
          <c:smooth val="0"/>
          <c:extLst>
            <c:ext xmlns:c16="http://schemas.microsoft.com/office/drawing/2014/chart" uri="{C3380CC4-5D6E-409C-BE32-E72D297353CC}">
              <c16:uniqueId val="{00000002-813B-4234-8173-9DB7C547ABFD}"/>
            </c:ext>
          </c:extLst>
        </c:ser>
        <c:dLbls>
          <c:showLegendKey val="0"/>
          <c:showVal val="0"/>
          <c:showCatName val="0"/>
          <c:showSerName val="0"/>
          <c:showPercent val="0"/>
          <c:showBubbleSize val="0"/>
        </c:dLbls>
        <c:marker val="1"/>
        <c:smooth val="0"/>
        <c:axId val="297275539"/>
        <c:axId val="458347691"/>
      </c:lineChart>
      <c:catAx>
        <c:axId val="29727553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58347691"/>
        <c:crosses val="autoZero"/>
        <c:auto val="1"/>
        <c:lblAlgn val="ctr"/>
        <c:lblOffset val="100"/>
        <c:noMultiLvlLbl val="0"/>
      </c:catAx>
      <c:valAx>
        <c:axId val="458347691"/>
        <c:scaling>
          <c:orientation val="minMax"/>
        </c:scaling>
        <c:delete val="0"/>
        <c:axPos val="l"/>
        <c:majorGridlines>
          <c:spPr>
            <a:ln w="9525" cap="flat" cmpd="sng" algn="ctr">
              <a:solidFill>
                <a:srgbClr val="E6E6E6">
                  <a:lumMod val="90200"/>
                </a:srgb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9727553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extLst>
      <c:ext uri="{0b15fc19-7d7d-44ad-8c2d-2c3a37ce22c3}">
        <chartProps xmlns="https://web.wps.cn/et/2018/main" chartId="{61959c9b-8beb-45a4-8549-9098631229ff}"/>
      </c:ext>
    </c:extLst>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8137</Words>
  <Characters>46383</Characters>
  <Application>Microsoft Office Word</Application>
  <DocSecurity>0</DocSecurity>
  <Lines>386</Lines>
  <Paragraphs>108</Paragraphs>
  <ScaleCrop>false</ScaleCrop>
  <Company>Microsoft</Company>
  <LinksUpToDate>false</LinksUpToDate>
  <CharactersWithSpaces>54412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lixi</dc:creator>
  <cp:keywords/>
  <cp:lastModifiedBy>Administrator</cp:lastModifiedBy>
  <cp:revision>2</cp:revision>
  <cp:lastPrinted>2022-11-22T09:11:00Z</cp:lastPrinted>
  <dcterms:created xsi:type="dcterms:W3CDTF">2025-11-25T02:30:00Z</dcterms:created>
  <dcterms:modified xsi:type="dcterms:W3CDTF">2025-11-25T02:30:00Z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7C5DABEE091740D196FCC4DFD19AE265_13</vt:lpwstr>
  </property>
  <property fmtid="{D5CDD505-2E9C-101B-9397-08002B2CF9AE}" pid="4" name="KSOTemplateDocerSaveRecord">
    <vt:lpwstr>eyJoZGlkIjoiYTI3OTBhNmEzYzAzZDAyNGQ0OWJlMGI1NzZkZTJhNzEiLCJ1c2VySWQiOiIyMzMxNTUzNjYifQ==</vt:lpwstr>
  </property>
</Properties>
</file>